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D6" w:rsidRPr="00B65FD6" w:rsidRDefault="00B65FD6" w:rsidP="00B65FD6">
      <w:pPr>
        <w:widowControl/>
        <w:shd w:val="clear" w:color="auto" w:fill="FFFFFF"/>
        <w:spacing w:line="360" w:lineRule="auto"/>
        <w:jc w:val="center"/>
        <w:textAlignment w:val="top"/>
        <w:rPr>
          <w:rFonts w:ascii="標楷體" w:eastAsia="標楷體" w:hAnsi="標楷體"/>
          <w:b/>
          <w:bCs/>
          <w:color w:val="000000"/>
          <w:spacing w:val="30"/>
          <w:sz w:val="36"/>
          <w:szCs w:val="36"/>
        </w:rPr>
      </w:pPr>
      <w:r w:rsidRPr="00B65FD6">
        <w:rPr>
          <w:rFonts w:ascii="標楷體" w:eastAsia="標楷體" w:hAnsi="標楷體" w:hint="eastAsia"/>
          <w:b/>
          <w:bCs/>
          <w:color w:val="000000"/>
          <w:spacing w:val="30"/>
          <w:sz w:val="36"/>
          <w:szCs w:val="36"/>
        </w:rPr>
        <w:t>通識教育中心</w:t>
      </w:r>
      <w:r>
        <w:rPr>
          <w:rFonts w:ascii="標楷體" w:eastAsia="標楷體" w:hAnsi="標楷體" w:hint="eastAsia"/>
          <w:b/>
          <w:bCs/>
          <w:color w:val="000000"/>
          <w:spacing w:val="30"/>
          <w:sz w:val="36"/>
          <w:szCs w:val="36"/>
        </w:rPr>
        <w:t>課程架構</w:t>
      </w:r>
    </w:p>
    <w:p w:rsidR="00B65FD6" w:rsidRPr="00B65FD6" w:rsidRDefault="00B65FD6" w:rsidP="00B65FD6">
      <w:pPr>
        <w:widowControl/>
        <w:shd w:val="clear" w:color="auto" w:fill="FFFFFF"/>
        <w:spacing w:line="320" w:lineRule="exact"/>
        <w:textAlignment w:val="top"/>
        <w:rPr>
          <w:rFonts w:ascii="微軟正黑體" w:eastAsia="微軟正黑體" w:hAnsi="微軟正黑體" w:cs="新細明體"/>
          <w:b/>
          <w:bCs/>
          <w:color w:val="CC3300"/>
          <w:spacing w:val="30"/>
          <w:kern w:val="0"/>
          <w:szCs w:val="24"/>
        </w:rPr>
      </w:pPr>
      <w:r w:rsidRPr="00B65FD6">
        <w:rPr>
          <w:rFonts w:ascii="微軟正黑體" w:eastAsia="微軟正黑體" w:hAnsi="微軟正黑體" w:cs="新細明體" w:hint="eastAsia"/>
          <w:b/>
          <w:bCs/>
          <w:color w:val="CC3300"/>
          <w:spacing w:val="30"/>
          <w:kern w:val="0"/>
          <w:szCs w:val="24"/>
        </w:rPr>
        <w:t>教育目標</w:t>
      </w:r>
    </w:p>
    <w:p w:rsidR="00B65FD6" w:rsidRPr="00B65FD6" w:rsidRDefault="00B65FD6" w:rsidP="00B65FD6">
      <w:pPr>
        <w:widowControl/>
        <w:shd w:val="clear" w:color="auto" w:fill="FFFFFF"/>
        <w:spacing w:line="320" w:lineRule="exact"/>
        <w:textAlignment w:val="top"/>
        <w:rPr>
          <w:rFonts w:ascii="微軟正黑體" w:eastAsia="微軟正黑體" w:hAnsi="微軟正黑體" w:cs="新細明體"/>
          <w:b/>
          <w:bCs/>
          <w:color w:val="2B2B2B"/>
          <w:spacing w:val="30"/>
          <w:kern w:val="0"/>
          <w:szCs w:val="24"/>
        </w:rPr>
      </w:pPr>
      <w:r w:rsidRPr="00B65FD6">
        <w:rPr>
          <w:rFonts w:ascii="微軟正黑體" w:eastAsia="微軟正黑體" w:hAnsi="微軟正黑體" w:cs="新細明體" w:hint="eastAsia"/>
          <w:b/>
          <w:bCs/>
          <w:color w:val="2B2B2B"/>
          <w:spacing w:val="30"/>
          <w:kern w:val="0"/>
          <w:szCs w:val="24"/>
        </w:rPr>
        <w:t>本中心課程與本校其他學系課程相輔相成，以求落實全人教育之理想目標，促使學生接受寬廣的教育，培育兼具知識取向、專業知能及正向思維習慣，希望學生能增廣知識和覺察並得以持續終身學習，且把知識應用在事業及生活中。本中心隨著時代潮流及新興知識，配合其他學系課程發展，朝向全人博雅教育之目標邁進。預期達成以下通識教育目標：</w:t>
      </w:r>
      <w:r w:rsidRPr="00B65FD6">
        <w:rPr>
          <w:rFonts w:ascii="微軟正黑體" w:eastAsia="微軟正黑體" w:hAnsi="微軟正黑體" w:cs="新細明體" w:hint="eastAsia"/>
          <w:b/>
          <w:bCs/>
          <w:color w:val="2B2B2B"/>
          <w:spacing w:val="30"/>
          <w:kern w:val="0"/>
          <w:szCs w:val="24"/>
        </w:rPr>
        <w:br/>
        <w:t>一、落實全人化與博雅教育之理想</w:t>
      </w:r>
      <w:r w:rsidRPr="00B65FD6">
        <w:rPr>
          <w:rFonts w:ascii="微軟正黑體" w:eastAsia="微軟正黑體" w:hAnsi="微軟正黑體" w:cs="新細明體" w:hint="eastAsia"/>
          <w:b/>
          <w:bCs/>
          <w:color w:val="2B2B2B"/>
          <w:spacing w:val="30"/>
          <w:kern w:val="0"/>
          <w:szCs w:val="24"/>
        </w:rPr>
        <w:br/>
        <w:t>二、均衡專業學系課程學習之功能</w:t>
      </w:r>
      <w:r w:rsidRPr="00B65FD6">
        <w:rPr>
          <w:rFonts w:ascii="微軟正黑體" w:eastAsia="微軟正黑體" w:hAnsi="微軟正黑體" w:cs="新細明體" w:hint="eastAsia"/>
          <w:b/>
          <w:bCs/>
          <w:color w:val="2B2B2B"/>
          <w:spacing w:val="30"/>
          <w:kern w:val="0"/>
          <w:szCs w:val="24"/>
        </w:rPr>
        <w:br/>
        <w:t>三、擴展產學合作聯盟之學習視野</w:t>
      </w:r>
      <w:r w:rsidRPr="00B65FD6">
        <w:rPr>
          <w:rFonts w:ascii="微軟正黑體" w:eastAsia="微軟正黑體" w:hAnsi="微軟正黑體" w:cs="新細明體" w:hint="eastAsia"/>
          <w:b/>
          <w:bCs/>
          <w:color w:val="2B2B2B"/>
          <w:spacing w:val="30"/>
          <w:kern w:val="0"/>
          <w:szCs w:val="24"/>
        </w:rPr>
        <w:br/>
        <w:t>四、提升社區發展與家庭生活品質</w:t>
      </w:r>
      <w:r w:rsidRPr="00B65FD6">
        <w:rPr>
          <w:rFonts w:ascii="微軟正黑體" w:eastAsia="微軟正黑體" w:hAnsi="微軟正黑體" w:cs="新細明體" w:hint="eastAsia"/>
          <w:b/>
          <w:bCs/>
          <w:color w:val="2B2B2B"/>
          <w:spacing w:val="30"/>
          <w:kern w:val="0"/>
          <w:szCs w:val="24"/>
        </w:rPr>
        <w:br/>
        <w:t>五、活化城市治理與永續發展政策</w:t>
      </w:r>
      <w:r w:rsidRPr="00B65FD6">
        <w:rPr>
          <w:rFonts w:ascii="微軟正黑體" w:eastAsia="微軟正黑體" w:hAnsi="微軟正黑體" w:cs="新細明體" w:hint="eastAsia"/>
          <w:b/>
          <w:bCs/>
          <w:color w:val="2B2B2B"/>
          <w:spacing w:val="30"/>
          <w:kern w:val="0"/>
          <w:szCs w:val="24"/>
        </w:rPr>
        <w:br/>
        <w:t xml:space="preserve">六、整合教育資源精進終身學習力 </w:t>
      </w:r>
    </w:p>
    <w:p w:rsidR="00B65FD6" w:rsidRPr="00B65FD6" w:rsidRDefault="00B65FD6" w:rsidP="00B65FD6">
      <w:pPr>
        <w:widowControl/>
        <w:shd w:val="clear" w:color="auto" w:fill="FFFFFF"/>
        <w:spacing w:line="320" w:lineRule="exact"/>
        <w:textAlignment w:val="top"/>
        <w:rPr>
          <w:rFonts w:ascii="微軟正黑體" w:eastAsia="微軟正黑體" w:hAnsi="微軟正黑體" w:cs="新細明體"/>
          <w:b/>
          <w:bCs/>
          <w:color w:val="CC3300"/>
          <w:spacing w:val="30"/>
          <w:kern w:val="0"/>
          <w:szCs w:val="24"/>
        </w:rPr>
      </w:pPr>
      <w:r w:rsidRPr="00B65FD6">
        <w:rPr>
          <w:rFonts w:ascii="微軟正黑體" w:eastAsia="微軟正黑體" w:hAnsi="微軟正黑體" w:cs="新細明體" w:hint="eastAsia"/>
          <w:b/>
          <w:bCs/>
          <w:color w:val="CC3300"/>
          <w:spacing w:val="30"/>
          <w:kern w:val="0"/>
          <w:szCs w:val="24"/>
        </w:rPr>
        <w:t>基本素養</w:t>
      </w:r>
    </w:p>
    <w:p w:rsidR="00B65FD6" w:rsidRPr="00B65FD6" w:rsidRDefault="00B65FD6" w:rsidP="00B65FD6">
      <w:pPr>
        <w:widowControl/>
        <w:shd w:val="clear" w:color="auto" w:fill="FFFFFF"/>
        <w:spacing w:line="320" w:lineRule="exact"/>
        <w:textAlignment w:val="top"/>
        <w:rPr>
          <w:rFonts w:ascii="微軟正黑體" w:eastAsia="微軟正黑體" w:hAnsi="微軟正黑體" w:cs="新細明體"/>
          <w:b/>
          <w:bCs/>
          <w:color w:val="2B2B2B"/>
          <w:spacing w:val="30"/>
          <w:kern w:val="0"/>
          <w:szCs w:val="24"/>
        </w:rPr>
      </w:pPr>
      <w:r w:rsidRPr="00B65FD6">
        <w:rPr>
          <w:rFonts w:ascii="微軟正黑體" w:eastAsia="微軟正黑體" w:hAnsi="微軟正黑體" w:cs="新細明體" w:hint="eastAsia"/>
          <w:b/>
          <w:bCs/>
          <w:color w:val="2B2B2B"/>
          <w:spacing w:val="30"/>
          <w:kern w:val="0"/>
          <w:szCs w:val="24"/>
        </w:rPr>
        <w:t>一、培養愛護鄉里的情懷</w:t>
      </w:r>
      <w:r w:rsidRPr="00B65FD6">
        <w:rPr>
          <w:rFonts w:ascii="微軟正黑體" w:eastAsia="微軟正黑體" w:hAnsi="微軟正黑體" w:cs="新細明體" w:hint="eastAsia"/>
          <w:b/>
          <w:bCs/>
          <w:color w:val="2B2B2B"/>
          <w:spacing w:val="30"/>
          <w:kern w:val="0"/>
          <w:szCs w:val="24"/>
        </w:rPr>
        <w:br/>
        <w:t>二、厚植公民意識</w:t>
      </w:r>
      <w:r w:rsidRPr="00B65FD6">
        <w:rPr>
          <w:rFonts w:ascii="微軟正黑體" w:eastAsia="微軟正黑體" w:hAnsi="微軟正黑體" w:cs="新細明體" w:hint="eastAsia"/>
          <w:b/>
          <w:bCs/>
          <w:color w:val="2B2B2B"/>
          <w:spacing w:val="30"/>
          <w:kern w:val="0"/>
          <w:szCs w:val="24"/>
        </w:rPr>
        <w:br/>
        <w:t>三、促進職場倫理與態度</w:t>
      </w:r>
      <w:r w:rsidRPr="00B65FD6">
        <w:rPr>
          <w:rFonts w:ascii="微軟正黑體" w:eastAsia="微軟正黑體" w:hAnsi="微軟正黑體" w:cs="新細明體" w:hint="eastAsia"/>
          <w:b/>
          <w:bCs/>
          <w:color w:val="2B2B2B"/>
          <w:spacing w:val="30"/>
          <w:kern w:val="0"/>
          <w:szCs w:val="24"/>
        </w:rPr>
        <w:br/>
        <w:t xml:space="preserve">四、提升國際宏觀及全球視野 </w:t>
      </w:r>
    </w:p>
    <w:p w:rsidR="00B65FD6" w:rsidRPr="00B65FD6" w:rsidRDefault="00B65FD6" w:rsidP="00B65FD6">
      <w:pPr>
        <w:widowControl/>
        <w:shd w:val="clear" w:color="auto" w:fill="FFFFFF"/>
        <w:spacing w:line="320" w:lineRule="exact"/>
        <w:textAlignment w:val="top"/>
        <w:rPr>
          <w:rFonts w:ascii="微軟正黑體" w:eastAsia="微軟正黑體" w:hAnsi="微軟正黑體" w:cs="新細明體"/>
          <w:b/>
          <w:bCs/>
          <w:color w:val="CC3300"/>
          <w:spacing w:val="30"/>
          <w:kern w:val="0"/>
          <w:szCs w:val="24"/>
        </w:rPr>
      </w:pPr>
      <w:r w:rsidRPr="00B65FD6">
        <w:rPr>
          <w:rFonts w:ascii="微軟正黑體" w:eastAsia="微軟正黑體" w:hAnsi="微軟正黑體" w:cs="新細明體" w:hint="eastAsia"/>
          <w:b/>
          <w:bCs/>
          <w:color w:val="CC3300"/>
          <w:spacing w:val="30"/>
          <w:kern w:val="0"/>
          <w:szCs w:val="24"/>
        </w:rPr>
        <w:t>核心能力</w:t>
      </w:r>
    </w:p>
    <w:p w:rsidR="00B65FD6" w:rsidRPr="00B65FD6" w:rsidRDefault="00B65FD6" w:rsidP="00B65FD6">
      <w:pPr>
        <w:widowControl/>
        <w:shd w:val="clear" w:color="auto" w:fill="FFFFFF"/>
        <w:spacing w:line="320" w:lineRule="exact"/>
        <w:textAlignment w:val="top"/>
        <w:rPr>
          <w:rFonts w:ascii="微軟正黑體" w:eastAsia="微軟正黑體" w:hAnsi="微軟正黑體" w:cs="新細明體"/>
          <w:b/>
          <w:bCs/>
          <w:color w:val="2B2B2B"/>
          <w:spacing w:val="30"/>
          <w:kern w:val="0"/>
          <w:szCs w:val="24"/>
        </w:rPr>
      </w:pPr>
      <w:r w:rsidRPr="00B65FD6">
        <w:rPr>
          <w:rFonts w:ascii="微軟正黑體" w:eastAsia="微軟正黑體" w:hAnsi="微軟正黑體" w:cs="新細明體" w:hint="eastAsia"/>
          <w:b/>
          <w:bCs/>
          <w:color w:val="2B2B2B"/>
          <w:spacing w:val="30"/>
          <w:kern w:val="0"/>
          <w:szCs w:val="24"/>
        </w:rPr>
        <w:t>一、與時俱進的學習能力</w:t>
      </w:r>
      <w:r w:rsidRPr="00B65FD6">
        <w:rPr>
          <w:rFonts w:ascii="微軟正黑體" w:eastAsia="微軟正黑體" w:hAnsi="微軟正黑體" w:cs="新細明體" w:hint="eastAsia"/>
          <w:b/>
          <w:bCs/>
          <w:color w:val="2B2B2B"/>
          <w:spacing w:val="30"/>
          <w:kern w:val="0"/>
          <w:szCs w:val="24"/>
        </w:rPr>
        <w:br/>
        <w:t>二、社會生活知能</w:t>
      </w:r>
      <w:r w:rsidRPr="00B65FD6">
        <w:rPr>
          <w:rFonts w:ascii="微軟正黑體" w:eastAsia="微軟正黑體" w:hAnsi="微軟正黑體" w:cs="新細明體" w:hint="eastAsia"/>
          <w:b/>
          <w:bCs/>
          <w:color w:val="2B2B2B"/>
          <w:spacing w:val="30"/>
          <w:kern w:val="0"/>
          <w:szCs w:val="24"/>
        </w:rPr>
        <w:br/>
        <w:t xml:space="preserve">三、職場專業技能 </w:t>
      </w:r>
    </w:p>
    <w:p w:rsidR="009B228E" w:rsidRPr="009B228E" w:rsidRDefault="009B228E" w:rsidP="009B228E">
      <w:pPr>
        <w:widowControl/>
        <w:shd w:val="clear" w:color="auto" w:fill="FFFFFF"/>
        <w:spacing w:line="360" w:lineRule="auto"/>
        <w:textAlignment w:val="center"/>
        <w:rPr>
          <w:rFonts w:ascii="微軟正黑體" w:eastAsia="微軟正黑體" w:hAnsi="微軟正黑體" w:cs="新細明體"/>
          <w:b/>
          <w:bCs/>
          <w:color w:val="CC3300"/>
          <w:spacing w:val="30"/>
          <w:kern w:val="0"/>
          <w:szCs w:val="24"/>
        </w:rPr>
      </w:pPr>
      <w:r w:rsidRPr="009B228E">
        <w:rPr>
          <w:rFonts w:ascii="微軟正黑體" w:eastAsia="微軟正黑體" w:hAnsi="微軟正黑體" w:cs="新細明體" w:hint="eastAsia"/>
          <w:b/>
          <w:bCs/>
          <w:color w:val="CC3300"/>
          <w:spacing w:val="30"/>
          <w:kern w:val="0"/>
          <w:szCs w:val="24"/>
        </w:rPr>
        <w:t>課程規劃</w:t>
      </w:r>
    </w:p>
    <w:p w:rsidR="009B228E" w:rsidRPr="009B228E" w:rsidRDefault="009B228E" w:rsidP="009B228E">
      <w:pPr>
        <w:widowControl/>
        <w:shd w:val="clear" w:color="auto" w:fill="FFFFFF"/>
        <w:spacing w:line="380" w:lineRule="exact"/>
        <w:textAlignment w:val="top"/>
        <w:rPr>
          <w:rFonts w:ascii="微軟正黑體" w:eastAsia="微軟正黑體" w:hAnsi="微軟正黑體" w:cs="新細明體"/>
          <w:b/>
          <w:bCs/>
          <w:color w:val="2B2B2B"/>
          <w:spacing w:val="30"/>
          <w:kern w:val="0"/>
          <w:szCs w:val="24"/>
        </w:rPr>
      </w:pPr>
      <w:r w:rsidRPr="009B228E">
        <w:rPr>
          <w:rFonts w:ascii="微軟正黑體" w:eastAsia="微軟正黑體" w:hAnsi="微軟正黑體" w:cs="新細明體" w:hint="eastAsia"/>
          <w:b/>
          <w:bCs/>
          <w:color w:val="2B2B2B"/>
          <w:spacing w:val="30"/>
          <w:kern w:val="0"/>
          <w:szCs w:val="24"/>
        </w:rPr>
        <w:t>通識教育課程配合本校校務發展理念，學生基本素養與核心能力，規劃有「人文科學」、「社會科學」、「自然科學」及「城市學」四大領域的架構；全修生至少須</w:t>
      </w:r>
      <w:proofErr w:type="gramStart"/>
      <w:r w:rsidRPr="009B228E">
        <w:rPr>
          <w:rFonts w:ascii="微軟正黑體" w:eastAsia="微軟正黑體" w:hAnsi="微軟正黑體" w:cs="新細明體" w:hint="eastAsia"/>
          <w:b/>
          <w:bCs/>
          <w:color w:val="2B2B2B"/>
          <w:spacing w:val="30"/>
          <w:kern w:val="0"/>
          <w:szCs w:val="24"/>
        </w:rPr>
        <w:t>修滿通識</w:t>
      </w:r>
      <w:proofErr w:type="gramEnd"/>
      <w:r w:rsidRPr="009B228E">
        <w:rPr>
          <w:rFonts w:ascii="微軟正黑體" w:eastAsia="微軟正黑體" w:hAnsi="微軟正黑體" w:cs="新細明體" w:hint="eastAsia"/>
          <w:b/>
          <w:bCs/>
          <w:color w:val="2B2B2B"/>
          <w:spacing w:val="30"/>
          <w:kern w:val="0"/>
          <w:szCs w:val="24"/>
        </w:rPr>
        <w:t>課程20學分，且為求學生均衡發展，各領域至少選修2科，以涉獵全面性的通識課程，達成全人教育的理想，並增加學生人文素養、社會關懷、永續發展及城市發展的知能。</w:t>
      </w:r>
    </w:p>
    <w:p w:rsidR="00B65FD6" w:rsidRPr="009B228E" w:rsidRDefault="00B65FD6"/>
    <w:p w:rsidR="00B65FD6" w:rsidRDefault="00EB6CC8">
      <w:pPr>
        <w:rPr>
          <w:rFonts w:hint="eastAsia"/>
        </w:rPr>
      </w:pPr>
      <w:r w:rsidRPr="003F7D0B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pt;height:632pt" o:ole="">
            <v:imagedata r:id="rId7" o:title=""/>
          </v:shape>
          <o:OLEObject Type="Embed" ProgID="AcroExch.Document.7" ShapeID="_x0000_i1025" DrawAspect="Content" ObjectID="_1506084883" r:id="rId8"/>
        </w:object>
      </w:r>
      <w:bookmarkStart w:id="0" w:name="_GoBack"/>
      <w:bookmarkEnd w:id="0"/>
    </w:p>
    <w:p w:rsidR="007E4B4E" w:rsidRDefault="007E4B4E">
      <w:pPr>
        <w:rPr>
          <w:rFonts w:hint="eastAsia"/>
        </w:rPr>
      </w:pPr>
    </w:p>
    <w:p w:rsidR="007E4B4E" w:rsidRPr="00F9383F" w:rsidRDefault="007E4B4E" w:rsidP="007E4B4E">
      <w:pPr>
        <w:ind w:firstLineChars="450" w:firstLine="1441"/>
        <w:jc w:val="center"/>
        <w:rPr>
          <w:rFonts w:ascii="標楷體" w:eastAsia="標楷體" w:hAnsi="標楷體"/>
          <w:b/>
          <w:sz w:val="32"/>
          <w:szCs w:val="32"/>
        </w:rPr>
      </w:pPr>
      <w:r w:rsidRPr="00F9383F">
        <w:rPr>
          <w:rFonts w:ascii="標楷體" w:eastAsia="標楷體" w:hAnsi="標楷體" w:hint="eastAsia"/>
          <w:b/>
          <w:sz w:val="32"/>
          <w:szCs w:val="32"/>
        </w:rPr>
        <w:lastRenderedPageBreak/>
        <w:t>高雄市立空中大學通識課程準則</w:t>
      </w:r>
    </w:p>
    <w:p w:rsidR="007E4B4E" w:rsidRDefault="007E4B4E" w:rsidP="007E4B4E">
      <w:pPr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高雄市立空中大學通識教育中心</w:t>
      </w:r>
      <w:r>
        <w:rPr>
          <w:rFonts w:eastAsia="標楷體"/>
          <w:kern w:val="0"/>
          <w:sz w:val="20"/>
          <w:szCs w:val="20"/>
        </w:rPr>
        <w:t xml:space="preserve">103 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/>
          <w:kern w:val="0"/>
          <w:sz w:val="20"/>
          <w:szCs w:val="20"/>
        </w:rPr>
        <w:t>2</w:t>
      </w:r>
      <w:r>
        <w:rPr>
          <w:rFonts w:eastAsia="標楷體" w:hint="eastAsia"/>
          <w:kern w:val="0"/>
          <w:sz w:val="20"/>
          <w:szCs w:val="20"/>
        </w:rPr>
        <w:t>學期第</w:t>
      </w:r>
      <w:r>
        <w:rPr>
          <w:rFonts w:eastAsia="標楷體"/>
          <w:kern w:val="0"/>
          <w:sz w:val="20"/>
          <w:szCs w:val="20"/>
        </w:rPr>
        <w:t>1</w:t>
      </w:r>
      <w:r>
        <w:rPr>
          <w:rFonts w:eastAsia="標楷體" w:hint="eastAsia"/>
          <w:kern w:val="0"/>
          <w:sz w:val="20"/>
          <w:szCs w:val="20"/>
        </w:rPr>
        <w:t>次中心會議審議通過</w:t>
      </w:r>
    </w:p>
    <w:p w:rsidR="007E4B4E" w:rsidRPr="0052506B" w:rsidRDefault="007E4B4E" w:rsidP="007E4B4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2506B">
        <w:rPr>
          <w:rFonts w:ascii="標楷體" w:eastAsia="標楷體" w:hAnsi="標楷體" w:hint="eastAsia"/>
          <w:sz w:val="28"/>
          <w:szCs w:val="28"/>
        </w:rPr>
        <w:t>高雄市立空中大學通識教育中心(以下簡稱本中心)為使通識核心課程的教學能充分符應本校辦學之精神，提升核心課程之辦學品質，特訂定本準則。</w:t>
      </w:r>
    </w:p>
    <w:p w:rsidR="007E4B4E" w:rsidRDefault="007E4B4E" w:rsidP="007E4B4E">
      <w:pPr>
        <w:pStyle w:val="a7"/>
        <w:numPr>
          <w:ilvl w:val="0"/>
          <w:numId w:val="1"/>
        </w:numPr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52506B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中心</w:t>
      </w:r>
      <w:r w:rsidRPr="0052506B">
        <w:rPr>
          <w:rFonts w:ascii="標楷體" w:eastAsia="標楷體" w:hAnsi="標楷體" w:hint="eastAsia"/>
          <w:sz w:val="28"/>
          <w:szCs w:val="28"/>
        </w:rPr>
        <w:t>所有通識核心課程之開設，皆須符合本準則之要求，並在每學期開課計</w:t>
      </w:r>
      <w:r>
        <w:rPr>
          <w:rFonts w:ascii="標楷體" w:eastAsia="標楷體" w:hAnsi="標楷體" w:hint="eastAsia"/>
          <w:sz w:val="28"/>
          <w:szCs w:val="28"/>
        </w:rPr>
        <w:t>畫與課程大綱中</w:t>
      </w:r>
      <w:r w:rsidRPr="0052506B">
        <w:rPr>
          <w:rFonts w:ascii="標楷體" w:eastAsia="標楷體" w:hAnsi="標楷體" w:hint="eastAsia"/>
          <w:sz w:val="28"/>
          <w:szCs w:val="28"/>
        </w:rPr>
        <w:t>充分說明。</w:t>
      </w:r>
    </w:p>
    <w:p w:rsidR="007E4B4E" w:rsidRDefault="007E4B4E" w:rsidP="007E4B4E">
      <w:pPr>
        <w:pStyle w:val="a7"/>
        <w:numPr>
          <w:ilvl w:val="0"/>
          <w:numId w:val="1"/>
        </w:numPr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52506B">
        <w:rPr>
          <w:rFonts w:ascii="標楷體" w:eastAsia="標楷體" w:hAnsi="標楷體" w:hint="eastAsia"/>
          <w:sz w:val="28"/>
          <w:szCs w:val="28"/>
        </w:rPr>
        <w:t>本中心通識課程規劃必須符合</w:t>
      </w:r>
      <w:proofErr w:type="gramStart"/>
      <w:r w:rsidRPr="0052506B">
        <w:rPr>
          <w:rFonts w:ascii="標楷體" w:eastAsia="標楷體" w:hAnsi="標楷體" w:hint="eastAsia"/>
          <w:sz w:val="28"/>
          <w:szCs w:val="28"/>
        </w:rPr>
        <w:t>校定</w:t>
      </w:r>
      <w:proofErr w:type="gramEnd"/>
      <w:r w:rsidRPr="0052506B">
        <w:rPr>
          <w:rFonts w:ascii="標楷體" w:eastAsia="標楷體" w:hAnsi="標楷體" w:hint="eastAsia"/>
          <w:sz w:val="28"/>
          <w:szCs w:val="28"/>
        </w:rPr>
        <w:t>基本素養之內涵，即本中心所設定核心通識四大素養，以達成全人教育與人文素養的教育目標。包括：培養愛護鄉里的情懷、厚植公民意識、促進職場倫理與態度、提升國際宏觀及全球視野。</w:t>
      </w:r>
    </w:p>
    <w:p w:rsidR="007E4B4E" w:rsidRPr="0052506B" w:rsidRDefault="007E4B4E" w:rsidP="007E4B4E">
      <w:pPr>
        <w:pStyle w:val="a7"/>
        <w:numPr>
          <w:ilvl w:val="0"/>
          <w:numId w:val="1"/>
        </w:numPr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52506B">
        <w:rPr>
          <w:rFonts w:ascii="標楷體" w:eastAsia="標楷體" w:hAnsi="標楷體" w:hint="eastAsia"/>
          <w:sz w:val="28"/>
          <w:szCs w:val="28"/>
        </w:rPr>
        <w:t>重視培養本校通識教育所欲養成學生之核心能力，包括：</w:t>
      </w:r>
      <w:r w:rsidRPr="0052506B">
        <w:rPr>
          <w:rFonts w:ascii="標楷體" w:eastAsia="標楷體" w:hAnsi="標楷體"/>
          <w:sz w:val="28"/>
          <w:szCs w:val="28"/>
        </w:rPr>
        <w:t>與時俱進的學習能力</w:t>
      </w:r>
      <w:r w:rsidRPr="0052506B">
        <w:rPr>
          <w:rFonts w:ascii="標楷體" w:eastAsia="標楷體" w:hAnsi="標楷體" w:hint="eastAsia"/>
          <w:sz w:val="28"/>
          <w:szCs w:val="28"/>
        </w:rPr>
        <w:t>、</w:t>
      </w:r>
      <w:r w:rsidRPr="0052506B">
        <w:rPr>
          <w:rFonts w:ascii="標楷體" w:eastAsia="標楷體" w:hAnsi="標楷體"/>
          <w:sz w:val="28"/>
          <w:szCs w:val="28"/>
        </w:rPr>
        <w:t>社會生活知能</w:t>
      </w:r>
      <w:r w:rsidRPr="0052506B">
        <w:rPr>
          <w:rFonts w:ascii="標楷體" w:eastAsia="標楷體" w:hAnsi="標楷體" w:hint="eastAsia"/>
          <w:sz w:val="28"/>
          <w:szCs w:val="28"/>
        </w:rPr>
        <w:t>、</w:t>
      </w:r>
      <w:r w:rsidRPr="0052506B">
        <w:rPr>
          <w:rFonts w:ascii="標楷體" w:eastAsia="標楷體" w:hAnsi="標楷體"/>
          <w:sz w:val="28"/>
          <w:szCs w:val="28"/>
        </w:rPr>
        <w:t>職場專業技能</w:t>
      </w:r>
      <w:r w:rsidRPr="0052506B">
        <w:rPr>
          <w:rFonts w:ascii="標楷體" w:eastAsia="標楷體" w:hAnsi="標楷體" w:hint="eastAsia"/>
          <w:sz w:val="28"/>
          <w:szCs w:val="28"/>
        </w:rPr>
        <w:t>。融入行動導向或問題解決導向方式引導課程進行，藉以提升學生結合理論與實務，</w:t>
      </w:r>
      <w:r>
        <w:rPr>
          <w:rFonts w:ascii="標楷體" w:eastAsia="標楷體" w:hAnsi="標楷體" w:hint="eastAsia"/>
          <w:sz w:val="28"/>
          <w:szCs w:val="28"/>
        </w:rPr>
        <w:t>能夠</w:t>
      </w:r>
      <w:r w:rsidRPr="0052506B">
        <w:rPr>
          <w:rFonts w:ascii="標楷體" w:eastAsia="標楷體" w:hAnsi="標楷體" w:hint="eastAsia"/>
          <w:sz w:val="28"/>
          <w:szCs w:val="28"/>
        </w:rPr>
        <w:t>解決</w:t>
      </w:r>
      <w:r>
        <w:rPr>
          <w:rFonts w:ascii="標楷體" w:eastAsia="標楷體" w:hAnsi="標楷體" w:hint="eastAsia"/>
          <w:sz w:val="28"/>
          <w:szCs w:val="28"/>
        </w:rPr>
        <w:t>生活中與職場上的</w:t>
      </w:r>
      <w:r w:rsidRPr="0052506B">
        <w:rPr>
          <w:rFonts w:ascii="標楷體" w:eastAsia="標楷體" w:hAnsi="標楷體" w:hint="eastAsia"/>
          <w:sz w:val="28"/>
          <w:szCs w:val="28"/>
        </w:rPr>
        <w:t>真實問題，進而提升行動能力。</w:t>
      </w:r>
    </w:p>
    <w:p w:rsidR="007E4B4E" w:rsidRDefault="007E4B4E" w:rsidP="007E4B4E">
      <w:pPr>
        <w:pStyle w:val="a7"/>
        <w:numPr>
          <w:ilvl w:val="0"/>
          <w:numId w:val="1"/>
        </w:numPr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52506B">
        <w:rPr>
          <w:rFonts w:ascii="標楷體" w:eastAsia="標楷體" w:hAnsi="標楷體" w:hint="eastAsia"/>
          <w:sz w:val="28"/>
          <w:szCs w:val="28"/>
        </w:rPr>
        <w:t>以</w:t>
      </w:r>
      <w:proofErr w:type="gramStart"/>
      <w:r w:rsidRPr="0052506B">
        <w:rPr>
          <w:rFonts w:ascii="標楷體" w:eastAsia="標楷體" w:hAnsi="標楷體" w:hint="eastAsia"/>
          <w:sz w:val="28"/>
          <w:szCs w:val="28"/>
        </w:rPr>
        <w:t>共同課綱作為</w:t>
      </w:r>
      <w:proofErr w:type="gramEnd"/>
      <w:r w:rsidRPr="0052506B">
        <w:rPr>
          <w:rFonts w:ascii="標楷體" w:eastAsia="標楷體" w:hAnsi="標楷體" w:hint="eastAsia"/>
          <w:sz w:val="28"/>
          <w:szCs w:val="28"/>
        </w:rPr>
        <w:t>課程學習的基本規模，以推薦閱讀作為課程深化與討論的延伸。</w:t>
      </w:r>
    </w:p>
    <w:p w:rsidR="007E4B4E" w:rsidRDefault="007E4B4E" w:rsidP="007E4B4E">
      <w:pPr>
        <w:pStyle w:val="a7"/>
        <w:numPr>
          <w:ilvl w:val="0"/>
          <w:numId w:val="1"/>
        </w:numPr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52506B">
        <w:rPr>
          <w:rFonts w:ascii="標楷體" w:eastAsia="標楷體" w:hAnsi="標楷體" w:hint="eastAsia"/>
          <w:sz w:val="28"/>
          <w:szCs w:val="28"/>
        </w:rPr>
        <w:t>課程評量注重多元形式，並發展學生學習成果本位評估模式。</w:t>
      </w:r>
    </w:p>
    <w:p w:rsidR="007E4B4E" w:rsidRPr="0052506B" w:rsidRDefault="007E4B4E" w:rsidP="007E4B4E">
      <w:pPr>
        <w:pStyle w:val="a7"/>
        <w:numPr>
          <w:ilvl w:val="0"/>
          <w:numId w:val="1"/>
        </w:numPr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52506B">
        <w:rPr>
          <w:rFonts w:ascii="標楷體" w:eastAsia="標楷體" w:hAnsi="標楷體" w:hint="eastAsia"/>
          <w:sz w:val="28"/>
          <w:szCs w:val="28"/>
        </w:rPr>
        <w:t>本準則經本中心會議通過後，並簽請校長核定後實施，修正時亦</w:t>
      </w:r>
    </w:p>
    <w:p w:rsidR="007E4B4E" w:rsidRDefault="007E4B4E" w:rsidP="007E4B4E"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2506B">
        <w:rPr>
          <w:rFonts w:ascii="標楷體" w:eastAsia="標楷體" w:hAnsi="標楷體" w:hint="eastAsia"/>
          <w:sz w:val="28"/>
          <w:szCs w:val="28"/>
        </w:rPr>
        <w:t>同。</w:t>
      </w:r>
    </w:p>
    <w:p w:rsidR="007E4B4E" w:rsidRDefault="007E4B4E">
      <w:pPr>
        <w:rPr>
          <w:rFonts w:hint="eastAsia"/>
        </w:rPr>
      </w:pPr>
    </w:p>
    <w:p w:rsidR="007E4B4E" w:rsidRDefault="007E4B4E">
      <w:pPr>
        <w:rPr>
          <w:rFonts w:hint="eastAsia"/>
        </w:rPr>
      </w:pPr>
    </w:p>
    <w:p w:rsidR="007E4B4E" w:rsidRPr="00B65FD6" w:rsidRDefault="007E4B4E"/>
    <w:sectPr w:rsidR="007E4B4E" w:rsidRPr="00B65FD6" w:rsidSect="009445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285" w:rsidRDefault="002C3285" w:rsidP="009B228E">
      <w:r>
        <w:separator/>
      </w:r>
    </w:p>
  </w:endnote>
  <w:endnote w:type="continuationSeparator" w:id="0">
    <w:p w:rsidR="002C3285" w:rsidRDefault="002C3285" w:rsidP="009B2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285" w:rsidRDefault="002C3285" w:rsidP="009B228E">
      <w:r>
        <w:separator/>
      </w:r>
    </w:p>
  </w:footnote>
  <w:footnote w:type="continuationSeparator" w:id="0">
    <w:p w:rsidR="002C3285" w:rsidRDefault="002C3285" w:rsidP="009B2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550F2"/>
    <w:multiLevelType w:val="hybridMultilevel"/>
    <w:tmpl w:val="458216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FD6"/>
    <w:rsid w:val="002C3285"/>
    <w:rsid w:val="00337CD3"/>
    <w:rsid w:val="006E099F"/>
    <w:rsid w:val="007E4B4E"/>
    <w:rsid w:val="0094451E"/>
    <w:rsid w:val="009B228E"/>
    <w:rsid w:val="00A14873"/>
    <w:rsid w:val="00B65FD6"/>
    <w:rsid w:val="00C11FCA"/>
    <w:rsid w:val="00EB6CC8"/>
    <w:rsid w:val="00FD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22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2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228E"/>
    <w:rPr>
      <w:sz w:val="20"/>
      <w:szCs w:val="20"/>
    </w:rPr>
  </w:style>
  <w:style w:type="paragraph" w:styleId="a7">
    <w:name w:val="List Paragraph"/>
    <w:basedOn w:val="a"/>
    <w:uiPriority w:val="34"/>
    <w:qFormat/>
    <w:rsid w:val="007E4B4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22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2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228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</dc:creator>
  <cp:keywords/>
  <dc:description/>
  <cp:lastModifiedBy>Pao-jean</cp:lastModifiedBy>
  <cp:revision>2</cp:revision>
  <dcterms:created xsi:type="dcterms:W3CDTF">2015-10-11T08:08:00Z</dcterms:created>
  <dcterms:modified xsi:type="dcterms:W3CDTF">2015-10-11T08:08:00Z</dcterms:modified>
</cp:coreProperties>
</file>