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F75" w:rsidRPr="00927F75" w:rsidRDefault="00927F75" w:rsidP="00927F75">
      <w:pPr>
        <w:widowControl/>
        <w:spacing w:before="100" w:beforeAutospacing="1" w:after="100" w:afterAutospacing="1"/>
        <w:rPr>
          <w:rFonts w:ascii="Times New Roman" w:eastAsia="新細明體" w:hAnsi="Times New Roman" w:cs="Times New Roman"/>
          <w:color w:val="000000"/>
          <w:kern w:val="0"/>
          <w:sz w:val="27"/>
          <w:szCs w:val="27"/>
        </w:rPr>
      </w:pPr>
      <w:bookmarkStart w:id="0" w:name="_GoBack"/>
      <w:r w:rsidRPr="00927F75">
        <w:rPr>
          <w:rFonts w:ascii="新細明體" w:eastAsia="新細明體" w:hAnsi="新細明體" w:cs="Times New Roman"/>
          <w:b/>
          <w:bCs/>
          <w:color w:val="000000"/>
          <w:kern w:val="0"/>
          <w:sz w:val="36"/>
          <w:szCs w:val="36"/>
        </w:rPr>
        <w:t>行政院限制所屬公務人員借調及兼職要點</w:t>
      </w:r>
    </w:p>
    <w:tbl>
      <w:tblPr>
        <w:tblW w:w="5000" w:type="pct"/>
        <w:tblCellSpacing w:w="6" w:type="dxa"/>
        <w:tblCellMar>
          <w:top w:w="15" w:type="dxa"/>
          <w:left w:w="15" w:type="dxa"/>
          <w:bottom w:w="15" w:type="dxa"/>
          <w:right w:w="15" w:type="dxa"/>
        </w:tblCellMar>
        <w:tblLook w:val="04A0" w:firstRow="1" w:lastRow="0" w:firstColumn="1" w:lastColumn="0" w:noHBand="0" w:noVBand="1"/>
      </w:tblPr>
      <w:tblGrid>
        <w:gridCol w:w="4180"/>
        <w:gridCol w:w="4180"/>
      </w:tblGrid>
      <w:tr w:rsidR="00927F75" w:rsidRPr="00927F75" w:rsidTr="00927F75">
        <w:trPr>
          <w:tblCellSpacing w:w="6" w:type="dxa"/>
        </w:trPr>
        <w:tc>
          <w:tcPr>
            <w:tcW w:w="2500" w:type="pct"/>
            <w:vAlign w:val="center"/>
            <w:hideMark/>
          </w:tcPr>
          <w:bookmarkEnd w:id="0"/>
          <w:p w:rsidR="00927F75" w:rsidRPr="00927F75" w:rsidRDefault="00927F75" w:rsidP="00927F75">
            <w:pPr>
              <w:widowControl/>
              <w:rPr>
                <w:rFonts w:ascii="Times New Roman" w:eastAsia="新細明體" w:hAnsi="Times New Roman" w:cs="Times New Roman"/>
                <w:kern w:val="0"/>
                <w:szCs w:val="24"/>
              </w:rPr>
            </w:pPr>
            <w:r w:rsidRPr="00927F75">
              <w:rPr>
                <w:rFonts w:ascii="Times New Roman" w:eastAsia="新細明體" w:hAnsi="Times New Roman" w:cs="Times New Roman"/>
                <w:kern w:val="0"/>
                <w:szCs w:val="24"/>
              </w:rPr>
              <w:t xml:space="preserve">　</w:t>
            </w:r>
          </w:p>
        </w:tc>
        <w:tc>
          <w:tcPr>
            <w:tcW w:w="2500" w:type="pct"/>
            <w:vAlign w:val="center"/>
            <w:hideMark/>
          </w:tcPr>
          <w:p w:rsidR="00927F75" w:rsidRPr="00927F75" w:rsidRDefault="00927F75" w:rsidP="00927F75">
            <w:pPr>
              <w:widowControl/>
              <w:rPr>
                <w:rFonts w:ascii="Times New Roman" w:eastAsia="新細明體" w:hAnsi="Times New Roman" w:cs="Times New Roman"/>
                <w:kern w:val="0"/>
                <w:szCs w:val="24"/>
              </w:rPr>
            </w:pPr>
            <w:r w:rsidRPr="00927F75">
              <w:rPr>
                <w:rFonts w:ascii="新細明體" w:eastAsia="新細明體" w:hAnsi="新細明體" w:cs="Times New Roman" w:hint="eastAsia"/>
                <w:kern w:val="0"/>
                <w:sz w:val="20"/>
                <w:szCs w:val="20"/>
              </w:rPr>
              <w:t>中華民國七十九年七月十日行政院台(79)人政貳字第一七五九六號函訂定</w:t>
            </w:r>
          </w:p>
        </w:tc>
      </w:tr>
      <w:tr w:rsidR="00927F75" w:rsidRPr="00927F75" w:rsidTr="00927F75">
        <w:trPr>
          <w:tblCellSpacing w:w="6" w:type="dxa"/>
        </w:trPr>
        <w:tc>
          <w:tcPr>
            <w:tcW w:w="2250" w:type="pct"/>
            <w:vAlign w:val="center"/>
            <w:hideMark/>
          </w:tcPr>
          <w:p w:rsidR="00927F75" w:rsidRPr="00927F75" w:rsidRDefault="00927F75" w:rsidP="00927F75">
            <w:pPr>
              <w:widowControl/>
              <w:rPr>
                <w:rFonts w:ascii="Times New Roman" w:eastAsia="新細明體" w:hAnsi="Times New Roman" w:cs="Times New Roman"/>
                <w:kern w:val="0"/>
                <w:szCs w:val="24"/>
              </w:rPr>
            </w:pPr>
          </w:p>
        </w:tc>
        <w:tc>
          <w:tcPr>
            <w:tcW w:w="2750" w:type="pct"/>
            <w:vAlign w:val="center"/>
            <w:hideMark/>
          </w:tcPr>
          <w:p w:rsidR="00927F75" w:rsidRPr="00927F75" w:rsidRDefault="00927F75" w:rsidP="00927F75">
            <w:pPr>
              <w:widowControl/>
              <w:rPr>
                <w:rFonts w:ascii="Times New Roman" w:eastAsia="新細明體" w:hAnsi="Times New Roman" w:cs="Times New Roman"/>
                <w:kern w:val="0"/>
                <w:szCs w:val="24"/>
              </w:rPr>
            </w:pPr>
            <w:r w:rsidRPr="00927F75">
              <w:rPr>
                <w:rFonts w:ascii="新細明體" w:eastAsia="新細明體" w:hAnsi="新細明體" w:cs="Times New Roman"/>
                <w:kern w:val="0"/>
                <w:sz w:val="20"/>
                <w:szCs w:val="20"/>
              </w:rPr>
              <w:t>中華民國八十八年七月七日行政院臺(88)院人政力字第 一九０九八四號函</w:t>
            </w:r>
            <w:r w:rsidRPr="00927F75">
              <w:rPr>
                <w:rFonts w:ascii="新細明體" w:eastAsia="新細明體" w:hAnsi="新細明體" w:cs="Times New Roman" w:hint="eastAsia"/>
                <w:kern w:val="0"/>
                <w:sz w:val="20"/>
                <w:szCs w:val="20"/>
              </w:rPr>
              <w:t>核定</w:t>
            </w:r>
          </w:p>
        </w:tc>
      </w:tr>
      <w:tr w:rsidR="00927F75" w:rsidRPr="00927F75" w:rsidTr="00927F75">
        <w:trPr>
          <w:tblCellSpacing w:w="6" w:type="dxa"/>
        </w:trPr>
        <w:tc>
          <w:tcPr>
            <w:tcW w:w="2250" w:type="pct"/>
            <w:vAlign w:val="center"/>
            <w:hideMark/>
          </w:tcPr>
          <w:p w:rsidR="00927F75" w:rsidRPr="00927F75" w:rsidRDefault="00927F75" w:rsidP="00927F75">
            <w:pPr>
              <w:widowControl/>
              <w:rPr>
                <w:rFonts w:ascii="Times New Roman" w:eastAsia="新細明體" w:hAnsi="Times New Roman" w:cs="Times New Roman"/>
                <w:kern w:val="0"/>
                <w:szCs w:val="24"/>
              </w:rPr>
            </w:pPr>
          </w:p>
        </w:tc>
        <w:tc>
          <w:tcPr>
            <w:tcW w:w="2750" w:type="pct"/>
            <w:vAlign w:val="center"/>
            <w:hideMark/>
          </w:tcPr>
          <w:p w:rsidR="00927F75" w:rsidRPr="00927F75" w:rsidRDefault="00927F75" w:rsidP="00927F75">
            <w:pPr>
              <w:widowControl/>
              <w:rPr>
                <w:rFonts w:ascii="Times New Roman" w:eastAsia="新細明體" w:hAnsi="Times New Roman" w:cs="Times New Roman"/>
                <w:kern w:val="0"/>
                <w:szCs w:val="24"/>
              </w:rPr>
            </w:pPr>
            <w:r w:rsidRPr="00927F75">
              <w:rPr>
                <w:rFonts w:ascii="新細明體" w:eastAsia="新細明體" w:hAnsi="新細明體" w:cs="Times New Roman"/>
                <w:kern w:val="0"/>
                <w:sz w:val="20"/>
                <w:szCs w:val="20"/>
              </w:rPr>
              <w:t>中華民國八十八年十月二十日行政院臺(880人政力字第 一九一四二七號修正</w:t>
            </w:r>
          </w:p>
        </w:tc>
      </w:tr>
    </w:tbl>
    <w:p w:rsidR="00927F75" w:rsidRPr="00927F75" w:rsidRDefault="00927F75" w:rsidP="00927F75">
      <w:pPr>
        <w:widowControl/>
        <w:rPr>
          <w:rFonts w:ascii="新細明體" w:eastAsia="新細明體" w:hAnsi="新細明體" w:cs="新細明體"/>
          <w:vanish/>
          <w:kern w:val="0"/>
          <w:szCs w:val="24"/>
        </w:rPr>
      </w:pPr>
    </w:p>
    <w:tbl>
      <w:tblPr>
        <w:tblW w:w="5000" w:type="pct"/>
        <w:tblCellSpacing w:w="60" w:type="dxa"/>
        <w:tblCellMar>
          <w:top w:w="12" w:type="dxa"/>
          <w:left w:w="12" w:type="dxa"/>
          <w:bottom w:w="12" w:type="dxa"/>
          <w:right w:w="12" w:type="dxa"/>
        </w:tblCellMar>
        <w:tblLook w:val="04A0" w:firstRow="1" w:lastRow="0" w:firstColumn="1" w:lastColumn="0" w:noHBand="0" w:noVBand="1"/>
      </w:tblPr>
      <w:tblGrid>
        <w:gridCol w:w="1044"/>
        <w:gridCol w:w="7526"/>
      </w:tblGrid>
      <w:tr w:rsidR="00927F75" w:rsidRPr="00927F75" w:rsidTr="00927F75">
        <w:trPr>
          <w:trHeight w:val="192"/>
          <w:tblCellSpacing w:w="60" w:type="dxa"/>
        </w:trPr>
        <w:tc>
          <w:tcPr>
            <w:tcW w:w="500" w:type="pct"/>
            <w:hideMark/>
          </w:tcPr>
          <w:p w:rsidR="00927F75" w:rsidRPr="00927F75" w:rsidRDefault="00927F75" w:rsidP="00927F75">
            <w:pPr>
              <w:widowControl/>
              <w:spacing w:line="192" w:lineRule="atLeast"/>
              <w:jc w:val="right"/>
              <w:rPr>
                <w:rFonts w:ascii="Times New Roman" w:eastAsia="新細明體" w:hAnsi="Times New Roman" w:cs="Times New Roman"/>
                <w:kern w:val="0"/>
                <w:szCs w:val="24"/>
              </w:rPr>
            </w:pPr>
            <w:r w:rsidRPr="00927F75">
              <w:rPr>
                <w:rFonts w:ascii="新細明體" w:eastAsia="新細明體" w:hAnsi="新細明體" w:cs="Times New Roman"/>
                <w:kern w:val="0"/>
                <w:szCs w:val="24"/>
              </w:rPr>
              <w:t>一、</w:t>
            </w:r>
          </w:p>
        </w:tc>
        <w:tc>
          <w:tcPr>
            <w:tcW w:w="4250" w:type="pct"/>
            <w:hideMark/>
          </w:tcPr>
          <w:p w:rsidR="00927F75" w:rsidRPr="00927F75" w:rsidRDefault="00927F75" w:rsidP="00927F75">
            <w:pPr>
              <w:widowControl/>
              <w:spacing w:line="192" w:lineRule="atLeast"/>
              <w:rPr>
                <w:rFonts w:ascii="Times New Roman" w:eastAsia="新細明體" w:hAnsi="Times New Roman" w:cs="Times New Roman"/>
                <w:kern w:val="0"/>
                <w:szCs w:val="24"/>
              </w:rPr>
            </w:pPr>
            <w:r w:rsidRPr="00927F75">
              <w:rPr>
                <w:rFonts w:ascii="新細明體" w:eastAsia="新細明體" w:hAnsi="新細明體" w:cs="Times New Roman"/>
                <w:kern w:val="0"/>
                <w:szCs w:val="24"/>
              </w:rPr>
              <w:t>行政院（以下簡稱本院）為限制所屬公務人員之借調及兼職，以期專任專責，特訂定本要點。</w:t>
            </w:r>
          </w:p>
        </w:tc>
      </w:tr>
      <w:tr w:rsidR="00927F75" w:rsidRPr="00927F75" w:rsidTr="00927F75">
        <w:trPr>
          <w:trHeight w:val="768"/>
          <w:tblCellSpacing w:w="60" w:type="dxa"/>
        </w:trPr>
        <w:tc>
          <w:tcPr>
            <w:tcW w:w="500" w:type="pct"/>
            <w:hideMark/>
          </w:tcPr>
          <w:p w:rsidR="00927F75" w:rsidRPr="00927F75" w:rsidRDefault="00927F75" w:rsidP="00927F75">
            <w:pPr>
              <w:widowControl/>
              <w:jc w:val="right"/>
              <w:rPr>
                <w:rFonts w:ascii="Times New Roman" w:eastAsia="新細明體" w:hAnsi="Times New Roman" w:cs="Times New Roman"/>
                <w:kern w:val="0"/>
                <w:szCs w:val="24"/>
              </w:rPr>
            </w:pPr>
            <w:r w:rsidRPr="00927F75">
              <w:rPr>
                <w:rFonts w:ascii="新細明體" w:eastAsia="新細明體" w:hAnsi="新細明體" w:cs="Times New Roman"/>
                <w:kern w:val="0"/>
                <w:szCs w:val="24"/>
              </w:rPr>
              <w:t>二、</w:t>
            </w:r>
          </w:p>
        </w:tc>
        <w:tc>
          <w:tcPr>
            <w:tcW w:w="4250" w:type="pct"/>
            <w:hideMark/>
          </w:tcPr>
          <w:p w:rsidR="00927F75" w:rsidRPr="00927F75" w:rsidRDefault="00927F75" w:rsidP="00927F75">
            <w:pPr>
              <w:widowControl/>
              <w:rPr>
                <w:rFonts w:ascii="Times New Roman" w:eastAsia="新細明體" w:hAnsi="Times New Roman" w:cs="Times New Roman"/>
                <w:kern w:val="0"/>
                <w:szCs w:val="24"/>
              </w:rPr>
            </w:pPr>
            <w:r w:rsidRPr="00927F75">
              <w:rPr>
                <w:rFonts w:ascii="新細明體" w:eastAsia="新細明體" w:hAnsi="新細明體" w:cs="Times New Roman"/>
                <w:kern w:val="0"/>
                <w:szCs w:val="24"/>
              </w:rPr>
              <w:t>本要點所稱借調，指各機關因業務特殊需要，商借其他機關現職人員，以全部時間至本機關擔任特定之職務或工作，借調期間其本職得依規定指定適當人員代理。</w:t>
            </w:r>
            <w:r w:rsidRPr="00927F75">
              <w:rPr>
                <w:rFonts w:ascii="新細明體" w:eastAsia="新細明體" w:hAnsi="新細明體" w:cs="Times New Roman"/>
                <w:kern w:val="0"/>
                <w:szCs w:val="24"/>
              </w:rPr>
              <w:br/>
              <w:t>所稱兼職，除法令另有規定外，指各機關因業務特殊需要，商借其他機關現職人員，以部分時間至本機關兼任特定之職務或工作。兼職期間其本職仍應繼續執行。</w:t>
            </w:r>
          </w:p>
        </w:tc>
      </w:tr>
      <w:tr w:rsidR="00927F75" w:rsidRPr="00927F75" w:rsidTr="00927F75">
        <w:trPr>
          <w:trHeight w:val="192"/>
          <w:tblCellSpacing w:w="60" w:type="dxa"/>
        </w:trPr>
        <w:tc>
          <w:tcPr>
            <w:tcW w:w="500" w:type="pct"/>
            <w:hideMark/>
          </w:tcPr>
          <w:p w:rsidR="00927F75" w:rsidRPr="00927F75" w:rsidRDefault="00927F75" w:rsidP="00927F75">
            <w:pPr>
              <w:widowControl/>
              <w:spacing w:line="192" w:lineRule="atLeast"/>
              <w:jc w:val="right"/>
              <w:rPr>
                <w:rFonts w:ascii="Times New Roman" w:eastAsia="新細明體" w:hAnsi="Times New Roman" w:cs="Times New Roman"/>
                <w:kern w:val="0"/>
                <w:szCs w:val="24"/>
              </w:rPr>
            </w:pPr>
            <w:r w:rsidRPr="00927F75">
              <w:rPr>
                <w:rFonts w:ascii="新細明體" w:eastAsia="新細明體" w:hAnsi="新細明體" w:cs="Times New Roman"/>
                <w:kern w:val="0"/>
                <w:szCs w:val="24"/>
              </w:rPr>
              <w:t>三、</w:t>
            </w:r>
          </w:p>
        </w:tc>
        <w:tc>
          <w:tcPr>
            <w:tcW w:w="4250" w:type="pct"/>
            <w:hideMark/>
          </w:tcPr>
          <w:p w:rsidR="00927F75" w:rsidRPr="00927F75" w:rsidRDefault="00927F75" w:rsidP="00927F75">
            <w:pPr>
              <w:widowControl/>
              <w:spacing w:line="192" w:lineRule="atLeast"/>
              <w:rPr>
                <w:rFonts w:ascii="Times New Roman" w:eastAsia="新細明體" w:hAnsi="Times New Roman" w:cs="Times New Roman"/>
                <w:kern w:val="0"/>
                <w:szCs w:val="24"/>
              </w:rPr>
            </w:pPr>
            <w:r w:rsidRPr="00927F75">
              <w:rPr>
                <w:rFonts w:ascii="新細明體" w:eastAsia="新細明體" w:hAnsi="新細明體" w:cs="Times New Roman"/>
                <w:kern w:val="0"/>
                <w:szCs w:val="24"/>
              </w:rPr>
              <w:t>各機關擬訂或修正組織法規時，除審議、協調及研究機構或業務上確有必要者外，不得設置借調或兼任職務。</w:t>
            </w:r>
          </w:p>
        </w:tc>
      </w:tr>
      <w:tr w:rsidR="00927F75" w:rsidRPr="00927F75" w:rsidTr="00927F75">
        <w:trPr>
          <w:trHeight w:val="264"/>
          <w:tblCellSpacing w:w="60" w:type="dxa"/>
        </w:trPr>
        <w:tc>
          <w:tcPr>
            <w:tcW w:w="500" w:type="pct"/>
            <w:hideMark/>
          </w:tcPr>
          <w:p w:rsidR="00927F75" w:rsidRPr="00927F75" w:rsidRDefault="00927F75" w:rsidP="00927F75">
            <w:pPr>
              <w:widowControl/>
              <w:jc w:val="right"/>
              <w:rPr>
                <w:rFonts w:ascii="Times New Roman" w:eastAsia="新細明體" w:hAnsi="Times New Roman" w:cs="Times New Roman"/>
                <w:kern w:val="0"/>
                <w:szCs w:val="24"/>
              </w:rPr>
            </w:pPr>
            <w:r w:rsidRPr="00927F75">
              <w:rPr>
                <w:rFonts w:ascii="新細明體" w:eastAsia="新細明體" w:hAnsi="新細明體" w:cs="Times New Roman"/>
                <w:kern w:val="0"/>
                <w:szCs w:val="24"/>
              </w:rPr>
              <w:t>四、</w:t>
            </w:r>
          </w:p>
        </w:tc>
        <w:tc>
          <w:tcPr>
            <w:tcW w:w="4250" w:type="pct"/>
            <w:hideMark/>
          </w:tcPr>
          <w:tbl>
            <w:tblPr>
              <w:tblW w:w="5000" w:type="pct"/>
              <w:tblCellMar>
                <w:top w:w="15" w:type="dxa"/>
                <w:left w:w="15" w:type="dxa"/>
                <w:bottom w:w="15" w:type="dxa"/>
                <w:right w:w="15" w:type="dxa"/>
              </w:tblCellMar>
              <w:tblLook w:val="04A0" w:firstRow="1" w:lastRow="0" w:firstColumn="1" w:lastColumn="0" w:noHBand="0" w:noVBand="1"/>
            </w:tblPr>
            <w:tblGrid>
              <w:gridCol w:w="750"/>
              <w:gridCol w:w="6572"/>
            </w:tblGrid>
            <w:tr w:rsidR="00927F75" w:rsidRPr="00927F75">
              <w:tc>
                <w:tcPr>
                  <w:tcW w:w="5000" w:type="pct"/>
                  <w:gridSpan w:val="2"/>
                  <w:tcBorders>
                    <w:top w:val="nil"/>
                    <w:left w:val="nil"/>
                    <w:bottom w:val="nil"/>
                    <w:right w:val="nil"/>
                  </w:tcBorders>
                  <w:vAlign w:val="center"/>
                  <w:hideMark/>
                </w:tcPr>
                <w:p w:rsidR="00927F75" w:rsidRPr="00927F75" w:rsidRDefault="00927F75" w:rsidP="00927F75">
                  <w:pPr>
                    <w:widowControl/>
                    <w:rPr>
                      <w:rFonts w:ascii="新細明體" w:eastAsia="新細明體" w:hAnsi="新細明體" w:cs="新細明體"/>
                      <w:kern w:val="0"/>
                      <w:szCs w:val="24"/>
                    </w:rPr>
                  </w:pPr>
                  <w:r w:rsidRPr="00927F75">
                    <w:rPr>
                      <w:rFonts w:ascii="新細明體" w:eastAsia="新細明體" w:hAnsi="新細明體" w:cs="新細明體"/>
                      <w:kern w:val="0"/>
                      <w:szCs w:val="24"/>
                    </w:rPr>
                    <w:t>各機關均應一人一職，除法令另有規定外，須合於左列情形之一者，始得借調或兼職：</w:t>
                  </w:r>
                </w:p>
              </w:tc>
            </w:tr>
            <w:tr w:rsidR="00927F75" w:rsidRPr="00927F75">
              <w:tc>
                <w:tcPr>
                  <w:tcW w:w="350" w:type="pct"/>
                  <w:tcBorders>
                    <w:top w:val="nil"/>
                    <w:left w:val="nil"/>
                    <w:bottom w:val="nil"/>
                    <w:right w:val="nil"/>
                  </w:tcBorders>
                  <w:vAlign w:val="center"/>
                  <w:hideMark/>
                </w:tcPr>
                <w:p w:rsidR="00927F75" w:rsidRPr="00927F75" w:rsidRDefault="00927F75" w:rsidP="00927F75">
                  <w:pPr>
                    <w:widowControl/>
                    <w:rPr>
                      <w:rFonts w:ascii="新細明體" w:eastAsia="新細明體" w:hAnsi="新細明體" w:cs="新細明體"/>
                      <w:kern w:val="0"/>
                      <w:szCs w:val="24"/>
                    </w:rPr>
                  </w:pPr>
                  <w:r w:rsidRPr="00927F75">
                    <w:rPr>
                      <w:rFonts w:ascii="新細明體" w:eastAsia="新細明體" w:hAnsi="新細明體" w:cs="新細明體"/>
                      <w:kern w:val="0"/>
                      <w:szCs w:val="24"/>
                    </w:rPr>
                    <w:t>（一）</w:t>
                  </w:r>
                </w:p>
              </w:tc>
              <w:tc>
                <w:tcPr>
                  <w:tcW w:w="4650" w:type="pct"/>
                  <w:tcBorders>
                    <w:top w:val="nil"/>
                    <w:left w:val="nil"/>
                    <w:bottom w:val="nil"/>
                    <w:right w:val="nil"/>
                  </w:tcBorders>
                  <w:vAlign w:val="center"/>
                  <w:hideMark/>
                </w:tcPr>
                <w:p w:rsidR="00927F75" w:rsidRPr="00927F75" w:rsidRDefault="00927F75" w:rsidP="00927F75">
                  <w:pPr>
                    <w:widowControl/>
                    <w:rPr>
                      <w:rFonts w:ascii="新細明體" w:eastAsia="新細明體" w:hAnsi="新細明體" w:cs="新細明體"/>
                      <w:kern w:val="0"/>
                      <w:szCs w:val="24"/>
                    </w:rPr>
                  </w:pPr>
                  <w:r w:rsidRPr="00927F75">
                    <w:rPr>
                      <w:rFonts w:ascii="新細明體" w:eastAsia="新細明體" w:hAnsi="新細明體" w:cs="新細明體"/>
                      <w:kern w:val="0"/>
                      <w:szCs w:val="24"/>
                    </w:rPr>
                    <w:t>專業性、科技性、稀少性職務，本機關無適當人員可資充任，而外補亦有困難者。</w:t>
                  </w:r>
                </w:p>
              </w:tc>
            </w:tr>
            <w:tr w:rsidR="00927F75" w:rsidRPr="00927F75">
              <w:tc>
                <w:tcPr>
                  <w:tcW w:w="350" w:type="pct"/>
                  <w:tcBorders>
                    <w:top w:val="nil"/>
                    <w:left w:val="nil"/>
                    <w:bottom w:val="nil"/>
                    <w:right w:val="nil"/>
                  </w:tcBorders>
                  <w:vAlign w:val="center"/>
                  <w:hideMark/>
                </w:tcPr>
                <w:p w:rsidR="00927F75" w:rsidRPr="00927F75" w:rsidRDefault="00927F75" w:rsidP="00927F75">
                  <w:pPr>
                    <w:widowControl/>
                    <w:rPr>
                      <w:rFonts w:ascii="新細明體" w:eastAsia="新細明體" w:hAnsi="新細明體" w:cs="新細明體"/>
                      <w:kern w:val="0"/>
                      <w:szCs w:val="24"/>
                    </w:rPr>
                  </w:pPr>
                  <w:r w:rsidRPr="00927F75">
                    <w:rPr>
                      <w:rFonts w:ascii="新細明體" w:eastAsia="新細明體" w:hAnsi="新細明體" w:cs="新細明體"/>
                      <w:kern w:val="0"/>
                      <w:szCs w:val="24"/>
                    </w:rPr>
                    <w:t>（二）</w:t>
                  </w:r>
                </w:p>
              </w:tc>
              <w:tc>
                <w:tcPr>
                  <w:tcW w:w="4650" w:type="pct"/>
                  <w:tcBorders>
                    <w:top w:val="nil"/>
                    <w:left w:val="nil"/>
                    <w:bottom w:val="nil"/>
                    <w:right w:val="nil"/>
                  </w:tcBorders>
                  <w:vAlign w:val="center"/>
                  <w:hideMark/>
                </w:tcPr>
                <w:p w:rsidR="00927F75" w:rsidRPr="00927F75" w:rsidRDefault="00927F75" w:rsidP="00927F75">
                  <w:pPr>
                    <w:widowControl/>
                    <w:rPr>
                      <w:rFonts w:ascii="新細明體" w:eastAsia="新細明體" w:hAnsi="新細明體" w:cs="新細明體"/>
                      <w:kern w:val="0"/>
                      <w:szCs w:val="24"/>
                    </w:rPr>
                  </w:pPr>
                  <w:r w:rsidRPr="00927F75">
                    <w:rPr>
                      <w:rFonts w:ascii="新細明體" w:eastAsia="新細明體" w:hAnsi="新細明體" w:cs="新細明體"/>
                      <w:kern w:val="0"/>
                      <w:szCs w:val="24"/>
                    </w:rPr>
                    <w:t>辦理有關機關委託或委辦之定期事務者。</w:t>
                  </w:r>
                </w:p>
              </w:tc>
            </w:tr>
            <w:tr w:rsidR="00927F75" w:rsidRPr="00927F75">
              <w:tc>
                <w:tcPr>
                  <w:tcW w:w="350" w:type="pct"/>
                  <w:tcBorders>
                    <w:top w:val="nil"/>
                    <w:left w:val="nil"/>
                    <w:bottom w:val="nil"/>
                    <w:right w:val="nil"/>
                  </w:tcBorders>
                  <w:vAlign w:val="center"/>
                  <w:hideMark/>
                </w:tcPr>
                <w:p w:rsidR="00927F75" w:rsidRPr="00927F75" w:rsidRDefault="00927F75" w:rsidP="00927F75">
                  <w:pPr>
                    <w:widowControl/>
                    <w:rPr>
                      <w:rFonts w:ascii="新細明體" w:eastAsia="新細明體" w:hAnsi="新細明體" w:cs="新細明體"/>
                      <w:kern w:val="0"/>
                      <w:szCs w:val="24"/>
                    </w:rPr>
                  </w:pPr>
                  <w:r w:rsidRPr="00927F75">
                    <w:rPr>
                      <w:rFonts w:ascii="新細明體" w:eastAsia="新細明體" w:hAnsi="新細明體" w:cs="新細明體"/>
                      <w:kern w:val="0"/>
                      <w:szCs w:val="24"/>
                    </w:rPr>
                    <w:t>（三）</w:t>
                  </w:r>
                </w:p>
              </w:tc>
              <w:tc>
                <w:tcPr>
                  <w:tcW w:w="4650" w:type="pct"/>
                  <w:tcBorders>
                    <w:top w:val="nil"/>
                    <w:left w:val="nil"/>
                    <w:bottom w:val="nil"/>
                    <w:right w:val="nil"/>
                  </w:tcBorders>
                  <w:vAlign w:val="center"/>
                  <w:hideMark/>
                </w:tcPr>
                <w:p w:rsidR="00927F75" w:rsidRPr="00927F75" w:rsidRDefault="00927F75" w:rsidP="00927F75">
                  <w:pPr>
                    <w:widowControl/>
                    <w:rPr>
                      <w:rFonts w:ascii="新細明體" w:eastAsia="新細明體" w:hAnsi="新細明體" w:cs="新細明體"/>
                      <w:kern w:val="0"/>
                      <w:szCs w:val="24"/>
                    </w:rPr>
                  </w:pPr>
                  <w:r w:rsidRPr="00927F75">
                    <w:rPr>
                      <w:rFonts w:ascii="新細明體" w:eastAsia="新細明體" w:hAnsi="新細明體" w:cs="新細明體"/>
                      <w:kern w:val="0"/>
                      <w:szCs w:val="24"/>
                    </w:rPr>
                    <w:t>辦理季節性或臨時性之工作者。</w:t>
                  </w:r>
                </w:p>
              </w:tc>
            </w:tr>
            <w:tr w:rsidR="00927F75" w:rsidRPr="00927F75">
              <w:tc>
                <w:tcPr>
                  <w:tcW w:w="350" w:type="pct"/>
                  <w:tcBorders>
                    <w:top w:val="nil"/>
                    <w:left w:val="nil"/>
                    <w:bottom w:val="nil"/>
                    <w:right w:val="nil"/>
                  </w:tcBorders>
                  <w:vAlign w:val="center"/>
                  <w:hideMark/>
                </w:tcPr>
                <w:p w:rsidR="00927F75" w:rsidRPr="00927F75" w:rsidRDefault="00927F75" w:rsidP="00927F75">
                  <w:pPr>
                    <w:widowControl/>
                    <w:rPr>
                      <w:rFonts w:ascii="新細明體" w:eastAsia="新細明體" w:hAnsi="新細明體" w:cs="新細明體"/>
                      <w:kern w:val="0"/>
                      <w:szCs w:val="24"/>
                    </w:rPr>
                  </w:pPr>
                  <w:r w:rsidRPr="00927F75">
                    <w:rPr>
                      <w:rFonts w:ascii="新細明體" w:eastAsia="新細明體" w:hAnsi="新細明體" w:cs="新細明體"/>
                      <w:kern w:val="0"/>
                      <w:szCs w:val="24"/>
                    </w:rPr>
                    <w:t>（四）</w:t>
                  </w:r>
                </w:p>
              </w:tc>
              <w:tc>
                <w:tcPr>
                  <w:tcW w:w="4650" w:type="pct"/>
                  <w:tcBorders>
                    <w:top w:val="nil"/>
                    <w:left w:val="nil"/>
                    <w:bottom w:val="nil"/>
                    <w:right w:val="nil"/>
                  </w:tcBorders>
                  <w:vAlign w:val="center"/>
                  <w:hideMark/>
                </w:tcPr>
                <w:p w:rsidR="00927F75" w:rsidRPr="00927F75" w:rsidRDefault="00927F75" w:rsidP="00927F75">
                  <w:pPr>
                    <w:widowControl/>
                    <w:rPr>
                      <w:rFonts w:ascii="新細明體" w:eastAsia="新細明體" w:hAnsi="新細明體" w:cs="新細明體"/>
                      <w:kern w:val="0"/>
                      <w:szCs w:val="24"/>
                    </w:rPr>
                  </w:pPr>
                  <w:r w:rsidRPr="00927F75">
                    <w:rPr>
                      <w:rFonts w:ascii="新細明體" w:eastAsia="新細明體" w:hAnsi="新細明體" w:cs="新細明體"/>
                      <w:kern w:val="0"/>
                      <w:szCs w:val="24"/>
                    </w:rPr>
                    <w:t>因援外或對外工作所需者。</w:t>
                  </w:r>
                </w:p>
              </w:tc>
            </w:tr>
            <w:tr w:rsidR="00927F75" w:rsidRPr="00927F75">
              <w:tc>
                <w:tcPr>
                  <w:tcW w:w="350" w:type="pct"/>
                  <w:tcBorders>
                    <w:top w:val="nil"/>
                    <w:left w:val="nil"/>
                    <w:bottom w:val="nil"/>
                    <w:right w:val="nil"/>
                  </w:tcBorders>
                  <w:vAlign w:val="center"/>
                  <w:hideMark/>
                </w:tcPr>
                <w:p w:rsidR="00927F75" w:rsidRPr="00927F75" w:rsidRDefault="00927F75" w:rsidP="00927F75">
                  <w:pPr>
                    <w:widowControl/>
                    <w:rPr>
                      <w:rFonts w:ascii="新細明體" w:eastAsia="新細明體" w:hAnsi="新細明體" w:cs="新細明體"/>
                      <w:kern w:val="0"/>
                      <w:szCs w:val="24"/>
                    </w:rPr>
                  </w:pPr>
                  <w:r w:rsidRPr="00927F75">
                    <w:rPr>
                      <w:rFonts w:ascii="新細明體" w:eastAsia="新細明體" w:hAnsi="新細明體" w:cs="新細明體"/>
                      <w:kern w:val="0"/>
                      <w:szCs w:val="24"/>
                    </w:rPr>
                    <w:t>（五）</w:t>
                  </w:r>
                </w:p>
              </w:tc>
              <w:tc>
                <w:tcPr>
                  <w:tcW w:w="4650" w:type="pct"/>
                  <w:tcBorders>
                    <w:top w:val="nil"/>
                    <w:left w:val="nil"/>
                    <w:bottom w:val="nil"/>
                    <w:right w:val="nil"/>
                  </w:tcBorders>
                  <w:vAlign w:val="center"/>
                  <w:hideMark/>
                </w:tcPr>
                <w:p w:rsidR="00927F75" w:rsidRPr="00927F75" w:rsidRDefault="00927F75" w:rsidP="00927F75">
                  <w:pPr>
                    <w:widowControl/>
                    <w:rPr>
                      <w:rFonts w:ascii="新細明體" w:eastAsia="新細明體" w:hAnsi="新細明體" w:cs="新細明體"/>
                      <w:kern w:val="0"/>
                      <w:szCs w:val="24"/>
                    </w:rPr>
                  </w:pPr>
                  <w:r w:rsidRPr="00927F75">
                    <w:rPr>
                      <w:rFonts w:ascii="新細明體" w:eastAsia="新細明體" w:hAnsi="新細明體" w:cs="新細明體"/>
                      <w:kern w:val="0"/>
                      <w:szCs w:val="24"/>
                    </w:rPr>
                    <w:t>依建教合作契約，至合作機關（構）擔任有關工作者。</w:t>
                  </w:r>
                </w:p>
              </w:tc>
            </w:tr>
            <w:tr w:rsidR="00927F75" w:rsidRPr="00927F75">
              <w:tc>
                <w:tcPr>
                  <w:tcW w:w="350" w:type="pct"/>
                  <w:tcBorders>
                    <w:top w:val="nil"/>
                    <w:left w:val="nil"/>
                    <w:bottom w:val="nil"/>
                    <w:right w:val="nil"/>
                  </w:tcBorders>
                  <w:vAlign w:val="center"/>
                  <w:hideMark/>
                </w:tcPr>
                <w:p w:rsidR="00927F75" w:rsidRPr="00927F75" w:rsidRDefault="00927F75" w:rsidP="00927F75">
                  <w:pPr>
                    <w:widowControl/>
                    <w:rPr>
                      <w:rFonts w:ascii="新細明體" w:eastAsia="新細明體" w:hAnsi="新細明體" w:cs="新細明體"/>
                      <w:kern w:val="0"/>
                      <w:szCs w:val="24"/>
                    </w:rPr>
                  </w:pPr>
                  <w:r w:rsidRPr="00927F75">
                    <w:rPr>
                      <w:rFonts w:ascii="新細明體" w:eastAsia="新細明體" w:hAnsi="新細明體" w:cs="新細明體"/>
                      <w:kern w:val="0"/>
                      <w:szCs w:val="24"/>
                    </w:rPr>
                    <w:t>（六）</w:t>
                  </w:r>
                </w:p>
              </w:tc>
              <w:tc>
                <w:tcPr>
                  <w:tcW w:w="4650" w:type="pct"/>
                  <w:tcBorders>
                    <w:top w:val="nil"/>
                    <w:left w:val="nil"/>
                    <w:bottom w:val="nil"/>
                    <w:right w:val="nil"/>
                  </w:tcBorders>
                  <w:vAlign w:val="center"/>
                  <w:hideMark/>
                </w:tcPr>
                <w:p w:rsidR="00927F75" w:rsidRPr="00927F75" w:rsidRDefault="00927F75" w:rsidP="00927F75">
                  <w:pPr>
                    <w:widowControl/>
                    <w:rPr>
                      <w:rFonts w:ascii="新細明體" w:eastAsia="新細明體" w:hAnsi="新細明體" w:cs="新細明體"/>
                      <w:kern w:val="0"/>
                      <w:szCs w:val="24"/>
                    </w:rPr>
                  </w:pPr>
                  <w:r w:rsidRPr="00927F75">
                    <w:rPr>
                      <w:rFonts w:ascii="新細明體" w:eastAsia="新細明體" w:hAnsi="新細明體" w:cs="新細明體"/>
                      <w:kern w:val="0"/>
                      <w:szCs w:val="24"/>
                    </w:rPr>
                    <w:t>因業務擴充而編制員額未配合增加者。</w:t>
                  </w:r>
                </w:p>
              </w:tc>
            </w:tr>
            <w:tr w:rsidR="00927F75" w:rsidRPr="00927F75">
              <w:tc>
                <w:tcPr>
                  <w:tcW w:w="5000" w:type="pct"/>
                  <w:gridSpan w:val="2"/>
                  <w:tcBorders>
                    <w:top w:val="nil"/>
                    <w:left w:val="nil"/>
                    <w:bottom w:val="nil"/>
                    <w:right w:val="nil"/>
                  </w:tcBorders>
                  <w:vAlign w:val="center"/>
                  <w:hideMark/>
                </w:tcPr>
                <w:p w:rsidR="00927F75" w:rsidRPr="00927F75" w:rsidRDefault="00927F75" w:rsidP="00927F75">
                  <w:pPr>
                    <w:widowControl/>
                    <w:spacing w:before="100" w:beforeAutospacing="1" w:after="100" w:afterAutospacing="1"/>
                    <w:rPr>
                      <w:rFonts w:ascii="新細明體" w:eastAsia="新細明體" w:hAnsi="新細明體" w:cs="新細明體"/>
                      <w:kern w:val="0"/>
                      <w:szCs w:val="24"/>
                    </w:rPr>
                  </w:pPr>
                  <w:r w:rsidRPr="00927F75">
                    <w:rPr>
                      <w:rFonts w:ascii="新細明體" w:eastAsia="新細明體" w:hAnsi="新細明體" w:cs="新細明體"/>
                      <w:kern w:val="0"/>
                      <w:szCs w:val="24"/>
                    </w:rPr>
                    <w:t>各部（會、行、處、局、署、院）、省政府簡任第十二職等以上主管職務或人員之借調或兼職，應報經本院核准，其餘應由各該部（會、行、處、局、署、院）、省（市）政府、省諮議會、直轄市議會、縣（市）政府或縣（市）議會依規定核准。但地方制度法規定由鄉（鎮、市）長依法任免之一級單位主管，其職務或人員之借調或兼職，由各該鄉（鎮、市）公所依規定核准。</w:t>
                  </w:r>
                </w:p>
              </w:tc>
            </w:tr>
          </w:tbl>
          <w:p w:rsidR="00927F75" w:rsidRPr="00927F75" w:rsidRDefault="00927F75" w:rsidP="00927F75">
            <w:pPr>
              <w:widowControl/>
              <w:rPr>
                <w:rFonts w:ascii="Times New Roman" w:eastAsia="新細明體" w:hAnsi="Times New Roman" w:cs="Times New Roman"/>
                <w:kern w:val="0"/>
                <w:szCs w:val="24"/>
              </w:rPr>
            </w:pPr>
          </w:p>
        </w:tc>
      </w:tr>
      <w:tr w:rsidR="00927F75" w:rsidRPr="00927F75" w:rsidTr="00927F75">
        <w:trPr>
          <w:trHeight w:val="576"/>
          <w:tblCellSpacing w:w="60" w:type="dxa"/>
        </w:trPr>
        <w:tc>
          <w:tcPr>
            <w:tcW w:w="500" w:type="pct"/>
            <w:hideMark/>
          </w:tcPr>
          <w:p w:rsidR="00927F75" w:rsidRPr="00927F75" w:rsidRDefault="00927F75" w:rsidP="00927F75">
            <w:pPr>
              <w:widowControl/>
              <w:jc w:val="right"/>
              <w:rPr>
                <w:rFonts w:ascii="Times New Roman" w:eastAsia="新細明體" w:hAnsi="Times New Roman" w:cs="Times New Roman"/>
                <w:kern w:val="0"/>
                <w:szCs w:val="24"/>
              </w:rPr>
            </w:pPr>
            <w:r w:rsidRPr="00927F75">
              <w:rPr>
                <w:rFonts w:ascii="新細明體" w:eastAsia="新細明體" w:hAnsi="新細明體" w:cs="Times New Roman"/>
                <w:kern w:val="0"/>
                <w:szCs w:val="24"/>
              </w:rPr>
              <w:t>五、</w:t>
            </w:r>
          </w:p>
        </w:tc>
        <w:tc>
          <w:tcPr>
            <w:tcW w:w="4250" w:type="pct"/>
            <w:hideMark/>
          </w:tcPr>
          <w:p w:rsidR="00927F75" w:rsidRPr="00927F75" w:rsidRDefault="00927F75" w:rsidP="00927F75">
            <w:pPr>
              <w:widowControl/>
              <w:rPr>
                <w:rFonts w:ascii="Times New Roman" w:eastAsia="新細明體" w:hAnsi="Times New Roman" w:cs="Times New Roman"/>
                <w:kern w:val="0"/>
                <w:szCs w:val="24"/>
              </w:rPr>
            </w:pPr>
            <w:r w:rsidRPr="00927F75">
              <w:rPr>
                <w:rFonts w:ascii="新細明體" w:eastAsia="新細明體" w:hAnsi="新細明體" w:cs="Times New Roman"/>
                <w:kern w:val="0"/>
                <w:szCs w:val="24"/>
              </w:rPr>
              <w:t>各機關公務人員借調或兼職期間，除法令另有規定外，最長以四年為</w:t>
            </w:r>
            <w:r w:rsidRPr="00927F75">
              <w:rPr>
                <w:rFonts w:ascii="新細明體" w:eastAsia="新細明體" w:hAnsi="新細明體" w:cs="Times New Roman"/>
                <w:kern w:val="0"/>
                <w:szCs w:val="24"/>
              </w:rPr>
              <w:lastRenderedPageBreak/>
              <w:t>限，但借調或兼職之職務有任期，且任期超過四年者，以一任為限。</w:t>
            </w:r>
            <w:r w:rsidRPr="00927F75">
              <w:rPr>
                <w:rFonts w:ascii="新細明體" w:eastAsia="新細明體" w:hAnsi="新細明體" w:cs="Times New Roman"/>
                <w:kern w:val="0"/>
                <w:szCs w:val="24"/>
              </w:rPr>
              <w:br/>
              <w:t>前項人員如係擔任機關組織法規所定之職務，應具有所任職務之任用資格。</w:t>
            </w:r>
          </w:p>
        </w:tc>
      </w:tr>
      <w:tr w:rsidR="00927F75" w:rsidRPr="00927F75" w:rsidTr="00927F75">
        <w:trPr>
          <w:trHeight w:val="192"/>
          <w:tblCellSpacing w:w="60" w:type="dxa"/>
        </w:trPr>
        <w:tc>
          <w:tcPr>
            <w:tcW w:w="500" w:type="pct"/>
            <w:hideMark/>
          </w:tcPr>
          <w:p w:rsidR="00927F75" w:rsidRPr="00927F75" w:rsidRDefault="00927F75" w:rsidP="00927F75">
            <w:pPr>
              <w:widowControl/>
              <w:spacing w:line="192" w:lineRule="atLeast"/>
              <w:jc w:val="right"/>
              <w:rPr>
                <w:rFonts w:ascii="Times New Roman" w:eastAsia="新細明體" w:hAnsi="Times New Roman" w:cs="Times New Roman"/>
                <w:kern w:val="0"/>
                <w:szCs w:val="24"/>
              </w:rPr>
            </w:pPr>
            <w:r w:rsidRPr="00927F75">
              <w:rPr>
                <w:rFonts w:ascii="新細明體" w:eastAsia="新細明體" w:hAnsi="新細明體" w:cs="Times New Roman"/>
                <w:kern w:val="0"/>
                <w:szCs w:val="24"/>
              </w:rPr>
              <w:lastRenderedPageBreak/>
              <w:t>六、</w:t>
            </w:r>
          </w:p>
        </w:tc>
        <w:tc>
          <w:tcPr>
            <w:tcW w:w="4250" w:type="pct"/>
            <w:hideMark/>
          </w:tcPr>
          <w:p w:rsidR="00927F75" w:rsidRPr="00927F75" w:rsidRDefault="00927F75" w:rsidP="00927F75">
            <w:pPr>
              <w:widowControl/>
              <w:spacing w:line="192" w:lineRule="atLeast"/>
              <w:rPr>
                <w:rFonts w:ascii="Times New Roman" w:eastAsia="新細明體" w:hAnsi="Times New Roman" w:cs="Times New Roman"/>
                <w:kern w:val="0"/>
                <w:szCs w:val="24"/>
              </w:rPr>
            </w:pPr>
            <w:r w:rsidRPr="00927F75">
              <w:rPr>
                <w:rFonts w:ascii="新細明體" w:eastAsia="新細明體" w:hAnsi="新細明體" w:cs="Times New Roman"/>
                <w:kern w:val="0"/>
                <w:szCs w:val="24"/>
              </w:rPr>
              <w:t>教授、副教授、講師借調或兼任行政機關職務或工作，以具有有關之專長者為限。</w:t>
            </w:r>
          </w:p>
        </w:tc>
      </w:tr>
      <w:tr w:rsidR="00927F75" w:rsidRPr="00927F75" w:rsidTr="00927F75">
        <w:trPr>
          <w:trHeight w:val="192"/>
          <w:tblCellSpacing w:w="60" w:type="dxa"/>
        </w:trPr>
        <w:tc>
          <w:tcPr>
            <w:tcW w:w="500" w:type="pct"/>
            <w:hideMark/>
          </w:tcPr>
          <w:p w:rsidR="00927F75" w:rsidRPr="00927F75" w:rsidRDefault="00927F75" w:rsidP="00927F75">
            <w:pPr>
              <w:widowControl/>
              <w:spacing w:line="192" w:lineRule="atLeast"/>
              <w:jc w:val="right"/>
              <w:rPr>
                <w:rFonts w:ascii="Times New Roman" w:eastAsia="新細明體" w:hAnsi="Times New Roman" w:cs="Times New Roman"/>
                <w:kern w:val="0"/>
                <w:szCs w:val="24"/>
              </w:rPr>
            </w:pPr>
            <w:r w:rsidRPr="00927F75">
              <w:rPr>
                <w:rFonts w:ascii="新細明體" w:eastAsia="新細明體" w:hAnsi="新細明體" w:cs="Times New Roman"/>
                <w:kern w:val="0"/>
                <w:szCs w:val="24"/>
              </w:rPr>
              <w:t>七、</w:t>
            </w:r>
          </w:p>
        </w:tc>
        <w:tc>
          <w:tcPr>
            <w:tcW w:w="4250" w:type="pct"/>
            <w:hideMark/>
          </w:tcPr>
          <w:p w:rsidR="00927F75" w:rsidRPr="00927F75" w:rsidRDefault="00927F75" w:rsidP="00927F75">
            <w:pPr>
              <w:widowControl/>
              <w:spacing w:line="192" w:lineRule="atLeast"/>
              <w:rPr>
                <w:rFonts w:ascii="Times New Roman" w:eastAsia="新細明體" w:hAnsi="Times New Roman" w:cs="Times New Roman"/>
                <w:kern w:val="0"/>
                <w:szCs w:val="24"/>
              </w:rPr>
            </w:pPr>
            <w:r w:rsidRPr="00927F75">
              <w:rPr>
                <w:rFonts w:ascii="新細明體" w:eastAsia="新細明體" w:hAnsi="新細明體" w:cs="Times New Roman"/>
                <w:kern w:val="0"/>
                <w:szCs w:val="24"/>
              </w:rPr>
              <w:t>各機關公務人員不得兼任公私立學校專任教職員。</w:t>
            </w:r>
          </w:p>
        </w:tc>
      </w:tr>
      <w:tr w:rsidR="00927F75" w:rsidRPr="00927F75" w:rsidTr="00927F75">
        <w:trPr>
          <w:trHeight w:val="384"/>
          <w:tblCellSpacing w:w="60" w:type="dxa"/>
        </w:trPr>
        <w:tc>
          <w:tcPr>
            <w:tcW w:w="500" w:type="pct"/>
            <w:hideMark/>
          </w:tcPr>
          <w:p w:rsidR="00927F75" w:rsidRPr="00927F75" w:rsidRDefault="00927F75" w:rsidP="00927F75">
            <w:pPr>
              <w:widowControl/>
              <w:jc w:val="right"/>
              <w:rPr>
                <w:rFonts w:ascii="Times New Roman" w:eastAsia="新細明體" w:hAnsi="Times New Roman" w:cs="Times New Roman"/>
                <w:kern w:val="0"/>
                <w:szCs w:val="24"/>
              </w:rPr>
            </w:pPr>
            <w:r w:rsidRPr="00927F75">
              <w:rPr>
                <w:rFonts w:ascii="新細明體" w:eastAsia="新細明體" w:hAnsi="新細明體" w:cs="Times New Roman"/>
                <w:kern w:val="0"/>
                <w:szCs w:val="24"/>
              </w:rPr>
              <w:t>八、</w:t>
            </w:r>
          </w:p>
        </w:tc>
        <w:tc>
          <w:tcPr>
            <w:tcW w:w="4250" w:type="pct"/>
            <w:hideMark/>
          </w:tcPr>
          <w:p w:rsidR="00927F75" w:rsidRPr="00927F75" w:rsidRDefault="00927F75" w:rsidP="00927F75">
            <w:pPr>
              <w:widowControl/>
              <w:rPr>
                <w:rFonts w:ascii="Times New Roman" w:eastAsia="新細明體" w:hAnsi="Times New Roman" w:cs="Times New Roman"/>
                <w:kern w:val="0"/>
                <w:szCs w:val="24"/>
              </w:rPr>
            </w:pPr>
            <w:r w:rsidRPr="00927F75">
              <w:rPr>
                <w:rFonts w:ascii="新細明體" w:eastAsia="新細明體" w:hAnsi="新細明體" w:cs="Times New Roman"/>
                <w:kern w:val="0"/>
                <w:szCs w:val="24"/>
              </w:rPr>
              <w:t>各機關公務人員在公私立學校兼課者，應經本機關首長核准。在辦公時間內，每週併計不得超過四小時，並應依請假規定辦理。但教育行政人員不得在私立學校兼課兼職。</w:t>
            </w:r>
          </w:p>
        </w:tc>
      </w:tr>
      <w:tr w:rsidR="00927F75" w:rsidRPr="00927F75" w:rsidTr="00927F75">
        <w:trPr>
          <w:trHeight w:val="12"/>
          <w:tblCellSpacing w:w="60" w:type="dxa"/>
        </w:trPr>
        <w:tc>
          <w:tcPr>
            <w:tcW w:w="500" w:type="pct"/>
            <w:hideMark/>
          </w:tcPr>
          <w:p w:rsidR="00927F75" w:rsidRPr="00927F75" w:rsidRDefault="00927F75" w:rsidP="00927F75">
            <w:pPr>
              <w:widowControl/>
              <w:jc w:val="right"/>
              <w:rPr>
                <w:rFonts w:ascii="Times New Roman" w:eastAsia="新細明體" w:hAnsi="Times New Roman" w:cs="Times New Roman"/>
                <w:kern w:val="0"/>
                <w:szCs w:val="24"/>
              </w:rPr>
            </w:pPr>
            <w:r w:rsidRPr="00927F75">
              <w:rPr>
                <w:rFonts w:ascii="新細明體" w:eastAsia="新細明體" w:hAnsi="新細明體" w:cs="Times New Roman"/>
                <w:kern w:val="0"/>
                <w:szCs w:val="24"/>
              </w:rPr>
              <w:t>九、</w:t>
            </w:r>
          </w:p>
        </w:tc>
        <w:tc>
          <w:tcPr>
            <w:tcW w:w="4250" w:type="pct"/>
            <w:hideMark/>
          </w:tcPr>
          <w:tbl>
            <w:tblPr>
              <w:tblW w:w="5000" w:type="pct"/>
              <w:tblCellMar>
                <w:top w:w="15" w:type="dxa"/>
                <w:left w:w="15" w:type="dxa"/>
                <w:bottom w:w="15" w:type="dxa"/>
                <w:right w:w="15" w:type="dxa"/>
              </w:tblCellMar>
              <w:tblLook w:val="04A0" w:firstRow="1" w:lastRow="0" w:firstColumn="1" w:lastColumn="0" w:noHBand="0" w:noVBand="1"/>
            </w:tblPr>
            <w:tblGrid>
              <w:gridCol w:w="750"/>
              <w:gridCol w:w="6572"/>
            </w:tblGrid>
            <w:tr w:rsidR="00927F75" w:rsidRPr="00927F75">
              <w:tc>
                <w:tcPr>
                  <w:tcW w:w="5000" w:type="pct"/>
                  <w:gridSpan w:val="2"/>
                  <w:tcBorders>
                    <w:top w:val="nil"/>
                    <w:left w:val="nil"/>
                    <w:bottom w:val="nil"/>
                    <w:right w:val="nil"/>
                  </w:tcBorders>
                  <w:vAlign w:val="center"/>
                  <w:hideMark/>
                </w:tcPr>
                <w:p w:rsidR="00927F75" w:rsidRPr="00927F75" w:rsidRDefault="00927F75" w:rsidP="00927F75">
                  <w:pPr>
                    <w:widowControl/>
                    <w:rPr>
                      <w:rFonts w:ascii="新細明體" w:eastAsia="新細明體" w:hAnsi="新細明體" w:cs="新細明體"/>
                      <w:kern w:val="0"/>
                      <w:szCs w:val="24"/>
                    </w:rPr>
                  </w:pPr>
                  <w:r w:rsidRPr="00927F75">
                    <w:rPr>
                      <w:rFonts w:ascii="新細明體" w:eastAsia="新細明體" w:hAnsi="新細明體" w:cs="新細明體"/>
                      <w:kern w:val="0"/>
                      <w:szCs w:val="24"/>
                    </w:rPr>
                    <w:t>借調、兼職人員之考核獎懲、差假依左列規定辦理：</w:t>
                  </w:r>
                </w:p>
              </w:tc>
            </w:tr>
            <w:tr w:rsidR="00927F75" w:rsidRPr="00927F75">
              <w:tc>
                <w:tcPr>
                  <w:tcW w:w="350" w:type="pct"/>
                  <w:tcBorders>
                    <w:top w:val="nil"/>
                    <w:left w:val="nil"/>
                    <w:bottom w:val="nil"/>
                    <w:right w:val="nil"/>
                  </w:tcBorders>
                  <w:vAlign w:val="center"/>
                  <w:hideMark/>
                </w:tcPr>
                <w:p w:rsidR="00927F75" w:rsidRPr="00927F75" w:rsidRDefault="00927F75" w:rsidP="00927F75">
                  <w:pPr>
                    <w:widowControl/>
                    <w:rPr>
                      <w:rFonts w:ascii="新細明體" w:eastAsia="新細明體" w:hAnsi="新細明體" w:cs="新細明體"/>
                      <w:kern w:val="0"/>
                      <w:szCs w:val="24"/>
                    </w:rPr>
                  </w:pPr>
                  <w:r w:rsidRPr="00927F75">
                    <w:rPr>
                      <w:rFonts w:ascii="新細明體" w:eastAsia="新細明體" w:hAnsi="新細明體" w:cs="新細明體"/>
                      <w:kern w:val="0"/>
                      <w:szCs w:val="24"/>
                    </w:rPr>
                    <w:t>（一）</w:t>
                  </w:r>
                </w:p>
              </w:tc>
              <w:tc>
                <w:tcPr>
                  <w:tcW w:w="4650" w:type="pct"/>
                  <w:tcBorders>
                    <w:top w:val="nil"/>
                    <w:left w:val="nil"/>
                    <w:bottom w:val="nil"/>
                    <w:right w:val="nil"/>
                  </w:tcBorders>
                  <w:vAlign w:val="center"/>
                  <w:hideMark/>
                </w:tcPr>
                <w:p w:rsidR="00927F75" w:rsidRPr="00927F75" w:rsidRDefault="00927F75" w:rsidP="00927F75">
                  <w:pPr>
                    <w:widowControl/>
                    <w:rPr>
                      <w:rFonts w:ascii="新細明體" w:eastAsia="新細明體" w:hAnsi="新細明體" w:cs="新細明體"/>
                      <w:kern w:val="0"/>
                      <w:szCs w:val="24"/>
                    </w:rPr>
                  </w:pPr>
                  <w:r w:rsidRPr="00927F75">
                    <w:rPr>
                      <w:rFonts w:ascii="新細明體" w:eastAsia="新細明體" w:hAnsi="新細明體" w:cs="新細明體"/>
                      <w:kern w:val="0"/>
                      <w:szCs w:val="24"/>
                    </w:rPr>
                    <w:t>借調人員於借調期間，其平時考核與差假由借調機關負責辦理，並於每年年終或借調期滿歸建時，將平時考核及差假勤惰有關資料，送其本職機關，作為獎懲及考績之依據，遇有具體功過發生時，則依上述程序及權責隨時辦理。</w:t>
                  </w:r>
                </w:p>
              </w:tc>
            </w:tr>
            <w:tr w:rsidR="00927F75" w:rsidRPr="00927F75">
              <w:tc>
                <w:tcPr>
                  <w:tcW w:w="350" w:type="pct"/>
                  <w:tcBorders>
                    <w:top w:val="nil"/>
                    <w:left w:val="nil"/>
                    <w:bottom w:val="nil"/>
                    <w:right w:val="nil"/>
                  </w:tcBorders>
                  <w:vAlign w:val="center"/>
                  <w:hideMark/>
                </w:tcPr>
                <w:p w:rsidR="00927F75" w:rsidRPr="00927F75" w:rsidRDefault="00927F75" w:rsidP="00927F75">
                  <w:pPr>
                    <w:widowControl/>
                    <w:rPr>
                      <w:rFonts w:ascii="新細明體" w:eastAsia="新細明體" w:hAnsi="新細明體" w:cs="新細明體"/>
                      <w:kern w:val="0"/>
                      <w:szCs w:val="24"/>
                    </w:rPr>
                  </w:pPr>
                  <w:r w:rsidRPr="00927F75">
                    <w:rPr>
                      <w:rFonts w:ascii="新細明體" w:eastAsia="新細明體" w:hAnsi="新細明體" w:cs="新細明體"/>
                      <w:kern w:val="0"/>
                      <w:szCs w:val="24"/>
                    </w:rPr>
                    <w:t>（二）</w:t>
                  </w:r>
                </w:p>
              </w:tc>
              <w:tc>
                <w:tcPr>
                  <w:tcW w:w="4650" w:type="pct"/>
                  <w:tcBorders>
                    <w:top w:val="nil"/>
                    <w:left w:val="nil"/>
                    <w:bottom w:val="nil"/>
                    <w:right w:val="nil"/>
                  </w:tcBorders>
                  <w:vAlign w:val="center"/>
                  <w:hideMark/>
                </w:tcPr>
                <w:p w:rsidR="00927F75" w:rsidRPr="00927F75" w:rsidRDefault="00927F75" w:rsidP="00927F75">
                  <w:pPr>
                    <w:widowControl/>
                    <w:rPr>
                      <w:rFonts w:ascii="新細明體" w:eastAsia="新細明體" w:hAnsi="新細明體" w:cs="新細明體"/>
                      <w:kern w:val="0"/>
                      <w:szCs w:val="24"/>
                    </w:rPr>
                  </w:pPr>
                  <w:r w:rsidRPr="00927F75">
                    <w:rPr>
                      <w:rFonts w:ascii="新細明體" w:eastAsia="新細明體" w:hAnsi="新細明體" w:cs="新細明體"/>
                      <w:kern w:val="0"/>
                      <w:szCs w:val="24"/>
                    </w:rPr>
                    <w:t>兼職人員於兼職期間之平時考核，由本職機關及兼職機關分別辦理，兼職機關於每年終或兼職期滿時，將平時考核紀錄送本職機關參考作為獎懲及考績之依據，遇有具體功過發生時，則隨時辦理，差假由本職機關依權責辦理，但應會知兼職機關。</w:t>
                  </w:r>
                </w:p>
              </w:tc>
            </w:tr>
          </w:tbl>
          <w:p w:rsidR="00927F75" w:rsidRPr="00927F75" w:rsidRDefault="00927F75" w:rsidP="00927F75">
            <w:pPr>
              <w:widowControl/>
              <w:spacing w:line="12" w:lineRule="atLeast"/>
              <w:rPr>
                <w:rFonts w:ascii="Times New Roman" w:eastAsia="新細明體" w:hAnsi="Times New Roman" w:cs="Times New Roman"/>
                <w:kern w:val="0"/>
                <w:szCs w:val="24"/>
              </w:rPr>
            </w:pPr>
          </w:p>
        </w:tc>
      </w:tr>
      <w:tr w:rsidR="00927F75" w:rsidRPr="00927F75" w:rsidTr="00927F75">
        <w:trPr>
          <w:trHeight w:val="192"/>
          <w:tblCellSpacing w:w="60" w:type="dxa"/>
        </w:trPr>
        <w:tc>
          <w:tcPr>
            <w:tcW w:w="500" w:type="pct"/>
            <w:hideMark/>
          </w:tcPr>
          <w:p w:rsidR="00927F75" w:rsidRPr="00927F75" w:rsidRDefault="00927F75" w:rsidP="00927F75">
            <w:pPr>
              <w:widowControl/>
              <w:spacing w:line="192" w:lineRule="atLeast"/>
              <w:jc w:val="right"/>
              <w:rPr>
                <w:rFonts w:ascii="Times New Roman" w:eastAsia="新細明體" w:hAnsi="Times New Roman" w:cs="Times New Roman"/>
                <w:kern w:val="0"/>
                <w:szCs w:val="24"/>
              </w:rPr>
            </w:pPr>
            <w:r w:rsidRPr="00927F75">
              <w:rPr>
                <w:rFonts w:ascii="新細明體" w:eastAsia="新細明體" w:hAnsi="新細明體" w:cs="Times New Roman"/>
                <w:kern w:val="0"/>
                <w:szCs w:val="24"/>
              </w:rPr>
              <w:t>十、</w:t>
            </w:r>
          </w:p>
        </w:tc>
        <w:tc>
          <w:tcPr>
            <w:tcW w:w="4250" w:type="pct"/>
            <w:hideMark/>
          </w:tcPr>
          <w:p w:rsidR="00927F75" w:rsidRPr="00927F75" w:rsidRDefault="00927F75" w:rsidP="00927F75">
            <w:pPr>
              <w:widowControl/>
              <w:spacing w:line="192" w:lineRule="atLeast"/>
              <w:rPr>
                <w:rFonts w:ascii="Times New Roman" w:eastAsia="新細明體" w:hAnsi="Times New Roman" w:cs="Times New Roman"/>
                <w:kern w:val="0"/>
                <w:szCs w:val="24"/>
              </w:rPr>
            </w:pPr>
            <w:r w:rsidRPr="00927F75">
              <w:rPr>
                <w:rFonts w:ascii="新細明體" w:eastAsia="新細明體" w:hAnsi="新細明體" w:cs="Times New Roman"/>
                <w:kern w:val="0"/>
                <w:szCs w:val="24"/>
              </w:rPr>
              <w:t>借調、兼職人員之支薪，除依公務人員留職停薪辦法有關規定辦理外，以在本職機關支薪為原則。</w:t>
            </w:r>
          </w:p>
        </w:tc>
      </w:tr>
      <w:tr w:rsidR="00927F75" w:rsidRPr="00927F75" w:rsidTr="00927F75">
        <w:trPr>
          <w:trHeight w:val="384"/>
          <w:tblCellSpacing w:w="60" w:type="dxa"/>
        </w:trPr>
        <w:tc>
          <w:tcPr>
            <w:tcW w:w="500" w:type="pct"/>
            <w:hideMark/>
          </w:tcPr>
          <w:p w:rsidR="00927F75" w:rsidRPr="00927F75" w:rsidRDefault="00927F75" w:rsidP="00927F75">
            <w:pPr>
              <w:widowControl/>
              <w:jc w:val="right"/>
              <w:rPr>
                <w:rFonts w:ascii="Times New Roman" w:eastAsia="新細明體" w:hAnsi="Times New Roman" w:cs="Times New Roman"/>
                <w:kern w:val="0"/>
                <w:szCs w:val="24"/>
              </w:rPr>
            </w:pPr>
            <w:r w:rsidRPr="00927F75">
              <w:rPr>
                <w:rFonts w:ascii="新細明體" w:eastAsia="新細明體" w:hAnsi="新細明體" w:cs="Times New Roman"/>
                <w:kern w:val="0"/>
                <w:szCs w:val="24"/>
              </w:rPr>
              <w:t>十一、</w:t>
            </w:r>
          </w:p>
        </w:tc>
        <w:tc>
          <w:tcPr>
            <w:tcW w:w="4250" w:type="pct"/>
            <w:hideMark/>
          </w:tcPr>
          <w:p w:rsidR="00927F75" w:rsidRPr="00927F75" w:rsidRDefault="00927F75" w:rsidP="00927F75">
            <w:pPr>
              <w:widowControl/>
              <w:rPr>
                <w:rFonts w:ascii="Times New Roman" w:eastAsia="新細明體" w:hAnsi="Times New Roman" w:cs="Times New Roman"/>
                <w:kern w:val="0"/>
                <w:szCs w:val="24"/>
              </w:rPr>
            </w:pPr>
            <w:r w:rsidRPr="00927F75">
              <w:rPr>
                <w:rFonts w:ascii="新細明體" w:eastAsia="新細明體" w:hAnsi="新細明體" w:cs="Times New Roman"/>
                <w:kern w:val="0"/>
                <w:szCs w:val="24"/>
              </w:rPr>
              <w:t>各機關公務人員基於法令規定有數個兼職者，以兼領二個兼職酬勞為限（即支領一個交通費及一個研究費，或支領二個交通費，或支領二個研究費）。</w:t>
            </w:r>
          </w:p>
        </w:tc>
      </w:tr>
      <w:tr w:rsidR="00927F75" w:rsidRPr="00927F75" w:rsidTr="00927F75">
        <w:trPr>
          <w:trHeight w:val="384"/>
          <w:tblCellSpacing w:w="60" w:type="dxa"/>
        </w:trPr>
        <w:tc>
          <w:tcPr>
            <w:tcW w:w="500" w:type="pct"/>
            <w:hideMark/>
          </w:tcPr>
          <w:p w:rsidR="00927F75" w:rsidRPr="00927F75" w:rsidRDefault="00927F75" w:rsidP="00927F75">
            <w:pPr>
              <w:widowControl/>
              <w:jc w:val="right"/>
              <w:rPr>
                <w:rFonts w:ascii="Times New Roman" w:eastAsia="新細明體" w:hAnsi="Times New Roman" w:cs="Times New Roman"/>
                <w:kern w:val="0"/>
                <w:szCs w:val="24"/>
              </w:rPr>
            </w:pPr>
            <w:r w:rsidRPr="00927F75">
              <w:rPr>
                <w:rFonts w:ascii="新細明體" w:eastAsia="新細明體" w:hAnsi="新細明體" w:cs="Times New Roman"/>
                <w:kern w:val="0"/>
                <w:szCs w:val="24"/>
              </w:rPr>
              <w:t>十二、</w:t>
            </w:r>
          </w:p>
        </w:tc>
        <w:tc>
          <w:tcPr>
            <w:tcW w:w="4250" w:type="pct"/>
            <w:hideMark/>
          </w:tcPr>
          <w:p w:rsidR="00927F75" w:rsidRPr="00927F75" w:rsidRDefault="00927F75" w:rsidP="00927F75">
            <w:pPr>
              <w:widowControl/>
              <w:rPr>
                <w:rFonts w:ascii="Times New Roman" w:eastAsia="新細明體" w:hAnsi="Times New Roman" w:cs="Times New Roman"/>
                <w:kern w:val="0"/>
                <w:szCs w:val="24"/>
              </w:rPr>
            </w:pPr>
            <w:r w:rsidRPr="00927F75">
              <w:rPr>
                <w:rFonts w:ascii="新細明體" w:eastAsia="新細明體" w:hAnsi="新細明體" w:cs="Times New Roman"/>
                <w:kern w:val="0"/>
                <w:szCs w:val="24"/>
              </w:rPr>
              <w:t>各主管機關對所屬各機關公務人員之借調或兼職得另訂較嚴格之規定實施，並應每年定期檢討清查，其有不合規定或無繼續借調或兼職必要者，應即予歸建或解除兼任。</w:t>
            </w:r>
          </w:p>
        </w:tc>
      </w:tr>
      <w:tr w:rsidR="00927F75" w:rsidRPr="00927F75" w:rsidTr="00927F75">
        <w:trPr>
          <w:trHeight w:val="192"/>
          <w:tblCellSpacing w:w="60" w:type="dxa"/>
        </w:trPr>
        <w:tc>
          <w:tcPr>
            <w:tcW w:w="500" w:type="pct"/>
            <w:hideMark/>
          </w:tcPr>
          <w:p w:rsidR="00927F75" w:rsidRPr="00927F75" w:rsidRDefault="00927F75" w:rsidP="00927F75">
            <w:pPr>
              <w:widowControl/>
              <w:spacing w:line="192" w:lineRule="atLeast"/>
              <w:jc w:val="right"/>
              <w:rPr>
                <w:rFonts w:ascii="Times New Roman" w:eastAsia="新細明體" w:hAnsi="Times New Roman" w:cs="Times New Roman"/>
                <w:kern w:val="0"/>
                <w:szCs w:val="24"/>
              </w:rPr>
            </w:pPr>
            <w:r w:rsidRPr="00927F75">
              <w:rPr>
                <w:rFonts w:ascii="新細明體" w:eastAsia="新細明體" w:hAnsi="新細明體" w:cs="Times New Roman"/>
                <w:kern w:val="0"/>
                <w:szCs w:val="24"/>
              </w:rPr>
              <w:t>十三、</w:t>
            </w:r>
          </w:p>
        </w:tc>
        <w:tc>
          <w:tcPr>
            <w:tcW w:w="4250" w:type="pct"/>
            <w:hideMark/>
          </w:tcPr>
          <w:p w:rsidR="00927F75" w:rsidRPr="00927F75" w:rsidRDefault="00927F75" w:rsidP="00927F75">
            <w:pPr>
              <w:widowControl/>
              <w:spacing w:line="192" w:lineRule="atLeast"/>
              <w:rPr>
                <w:rFonts w:ascii="Times New Roman" w:eastAsia="新細明體" w:hAnsi="Times New Roman" w:cs="Times New Roman"/>
                <w:kern w:val="0"/>
                <w:szCs w:val="24"/>
              </w:rPr>
            </w:pPr>
            <w:r w:rsidRPr="00927F75">
              <w:rPr>
                <w:rFonts w:ascii="新細明體" w:eastAsia="新細明體" w:hAnsi="新細明體" w:cs="Times New Roman"/>
                <w:kern w:val="0"/>
                <w:szCs w:val="24"/>
              </w:rPr>
              <w:t>教育人員及公營事業人員之借調或兼職，得由有關主管機關另訂規定實施。</w:t>
            </w:r>
          </w:p>
        </w:tc>
      </w:tr>
    </w:tbl>
    <w:p w:rsidR="00E411D3" w:rsidRPr="00927F75" w:rsidRDefault="00E411D3"/>
    <w:sectPr w:rsidR="00E411D3" w:rsidRPr="00927F7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F75"/>
    <w:rsid w:val="00927F75"/>
    <w:rsid w:val="00E411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57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222</Words>
  <Characters>1269</Characters>
  <Application>Microsoft Office Word</Application>
  <DocSecurity>0</DocSecurity>
  <Lines>10</Lines>
  <Paragraphs>2</Paragraphs>
  <ScaleCrop>false</ScaleCrop>
  <Company/>
  <LinksUpToDate>false</LinksUpToDate>
  <CharactersWithSpaces>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2016-05-12T02:22:00Z</dcterms:created>
  <dcterms:modified xsi:type="dcterms:W3CDTF">2016-05-12T02:23:00Z</dcterms:modified>
</cp:coreProperties>
</file>